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Garamond" w:hAnsi="Garamond" w:cs="Garamond"/>
          <w:b/>
          <w:sz w:val="30"/>
          <w:u w:val="single"/>
        </w:rPr>
      </w:pPr>
      <w:r>
        <w:rPr>
          <w:rFonts w:cs="Garamond" w:ascii="Garamond" w:hAnsi="Garamond"/>
          <w:b/>
          <w:sz w:val="30"/>
          <w:u w:val="single"/>
        </w:rPr>
        <w:t xml:space="preserve">EUROPEAN GOVERNMENT &amp; REGULATORY AFFAIRS: </w:t>
      </w:r>
    </w:p>
    <w:p>
      <w:pPr>
        <w:pStyle w:val="Heading5"/>
        <w:ind w:hanging="0" w:start="0"/>
        <w:rPr>
          <w:rFonts w:ascii="Garamond" w:hAnsi="Garamond" w:cs="Garamond"/>
          <w:b/>
          <w:sz w:val="30"/>
        </w:rPr>
      </w:pPr>
      <w:r>
        <w:rPr>
          <w:rFonts w:cs="Garamond" w:ascii="Garamond" w:hAnsi="Garamond"/>
          <w:b/>
          <w:sz w:val="30"/>
        </w:rPr>
        <w:t>CONTINENTAL POWER, CONTINENTAL GAS, EU</w:t>
      </w:r>
    </w:p>
    <w:p>
      <w:pPr>
        <w:pStyle w:val="Normal"/>
        <w:rPr>
          <w:rFonts w:ascii="Garamond" w:hAnsi="Garamond" w:cs="Garamond"/>
          <w:b/>
          <w:sz w:val="22"/>
        </w:rPr>
      </w:pPr>
      <w:r>
        <w:rPr>
          <w:rFonts w:cs="Garamond" w:ascii="Garamond" w:hAnsi="Garamond"/>
          <w:b/>
          <w:sz w:val="22"/>
        </w:rPr>
      </w:r>
    </w:p>
    <w:p>
      <w:pPr>
        <w:pStyle w:val="Normal"/>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r>
    </w:p>
    <w:p>
      <w:pPr>
        <w:pStyle w:val="Heading1"/>
        <w:ind w:hanging="0" w:start="0"/>
        <w:jc w:val="both"/>
        <w:rPr>
          <w:rFonts w:ascii="Garamond" w:hAnsi="Garamond" w:cs="Garamond"/>
          <w:sz w:val="28"/>
        </w:rPr>
      </w:pPr>
      <w:r>
        <w:rPr>
          <w:rFonts w:cs="Garamond" w:ascii="Garamond" w:hAnsi="Garamond"/>
          <w:sz w:val="28"/>
        </w:rPr>
        <w:t>MISSION</w:t>
      </w:r>
    </w:p>
    <w:p>
      <w:pPr>
        <w:pStyle w:val="Normal"/>
        <w:jc w:val="both"/>
        <w:rPr>
          <w:rFonts w:ascii="Garamond" w:hAnsi="Garamond" w:cs="Garamond"/>
          <w:sz w:val="22"/>
        </w:rPr>
      </w:pPr>
      <w:r>
        <w:rPr>
          <w:rFonts w:cs="Garamond" w:ascii="Garamond" w:hAnsi="Garamond"/>
          <w:sz w:val="22"/>
        </w:rPr>
      </w:r>
    </w:p>
    <w:p>
      <w:pPr>
        <w:pStyle w:val="BodyText2"/>
        <w:jc w:val="both"/>
        <w:rPr>
          <w:rFonts w:ascii="Garamond" w:hAnsi="Garamond" w:cs="Garamond"/>
          <w:b/>
        </w:rPr>
      </w:pPr>
      <w:r>
        <w:rPr>
          <w:rFonts w:cs="Garamond" w:ascii="Garamond" w:hAnsi="Garamond"/>
          <w:b/>
        </w:rPr>
        <w:t>We promote liquid and transparent wholesale commodity markets, particularly in power and gas, both physical and financial, in Continental Western Europe (“CWE”).  We facilitate access to commodity transportation infrastructure in CWE on favourable terms, within and across national borders.  We help to secure or create competition in the product and geographic markets where we trade, particularly power generation, gas importation, and retail supply of power and gas in CWE.</w:t>
      </w:r>
    </w:p>
    <w:p>
      <w:pPr>
        <w:pStyle w:val="Normal"/>
        <w:jc w:val="both"/>
        <w:rPr>
          <w:rFonts w:ascii="Garamond" w:hAnsi="Garamond" w:cs="Garamond"/>
          <w:b/>
          <w:sz w:val="22"/>
        </w:rPr>
      </w:pPr>
      <w:r>
        <w:rPr>
          <w:rFonts w:cs="Garamond" w:ascii="Garamond" w:hAnsi="Garamond"/>
          <w:b/>
          <w:sz w:val="22"/>
        </w:rPr>
      </w:r>
    </w:p>
    <w:p>
      <w:pPr>
        <w:pStyle w:val="Normal"/>
        <w:jc w:val="both"/>
        <w:rPr>
          <w:rFonts w:ascii="Garamond" w:hAnsi="Garamond" w:cs="Garamond"/>
          <w:sz w:val="22"/>
        </w:rPr>
      </w:pPr>
      <w:r>
        <w:rPr>
          <w:rFonts w:cs="Garamond" w:ascii="Garamond" w:hAnsi="Garamond"/>
          <w:sz w:val="22"/>
        </w:rPr>
      </w:r>
    </w:p>
    <w:p>
      <w:pPr>
        <w:pStyle w:val="Heading2"/>
        <w:ind w:hanging="0" w:start="0"/>
        <w:jc w:val="both"/>
        <w:rPr>
          <w:rFonts w:ascii="Garamond" w:hAnsi="Garamond" w:cs="Garamond"/>
          <w:sz w:val="28"/>
        </w:rPr>
      </w:pPr>
      <w:r>
        <w:rPr>
          <w:rFonts w:cs="Garamond" w:ascii="Garamond" w:hAnsi="Garamond"/>
          <w:sz w:val="28"/>
        </w:rPr>
        <w:t>STRATEGIC OBJECTIVES</w:t>
      </w:r>
    </w:p>
    <w:p>
      <w:pPr>
        <w:pStyle w:val="Normal"/>
        <w:jc w:val="both"/>
        <w:rPr>
          <w:rFonts w:ascii="Garamond" w:hAnsi="Garamond" w:cs="Garamond"/>
          <w:sz w:val="22"/>
        </w:rPr>
      </w:pPr>
      <w:r>
        <w:rPr>
          <w:rFonts w:cs="Garamond" w:ascii="Garamond" w:hAnsi="Garamond"/>
          <w:sz w:val="22"/>
        </w:rPr>
      </w:r>
    </w:p>
    <w:p>
      <w:pPr>
        <w:pStyle w:val="Normal"/>
        <w:numPr>
          <w:ilvl w:val="0"/>
          <w:numId w:val="14"/>
        </w:numPr>
        <w:jc w:val="both"/>
        <w:rPr>
          <w:rFonts w:ascii="Garamond" w:hAnsi="Garamond" w:cs="Garamond"/>
          <w:sz w:val="24"/>
        </w:rPr>
      </w:pPr>
      <w:r>
        <w:rPr>
          <w:rFonts w:cs="Garamond" w:ascii="Garamond" w:hAnsi="Garamond"/>
          <w:sz w:val="24"/>
        </w:rPr>
        <w:t>TPA eligibility for all wholesale, industrial and commercial counter-parties – in power by 1/1/04 and in gas by 1/1/05 – and for all residential customers – in power and gas by 1/1/06.</w:t>
      </w:r>
    </w:p>
    <w:p>
      <w:pPr>
        <w:pStyle w:val="Normal"/>
        <w:numPr>
          <w:ilvl w:val="0"/>
          <w:numId w:val="14"/>
        </w:numPr>
        <w:jc w:val="both"/>
        <w:rPr>
          <w:rFonts w:ascii="Garamond" w:hAnsi="Garamond" w:cs="Garamond"/>
          <w:sz w:val="24"/>
        </w:rPr>
      </w:pPr>
      <w:r>
        <w:rPr>
          <w:rFonts w:cs="Garamond" w:ascii="Garamond" w:hAnsi="Garamond"/>
          <w:sz w:val="24"/>
        </w:rPr>
        <w:t>Deeper unbundling of networks – requiring separation of corporate structures, management, information, and other resources, or preferably ownership.</w:t>
      </w:r>
    </w:p>
    <w:p>
      <w:pPr>
        <w:pStyle w:val="Normal"/>
        <w:numPr>
          <w:ilvl w:val="0"/>
          <w:numId w:val="14"/>
        </w:numPr>
        <w:jc w:val="both"/>
        <w:rPr>
          <w:rFonts w:ascii="Garamond" w:hAnsi="Garamond" w:cs="Garamond"/>
          <w:sz w:val="24"/>
        </w:rPr>
      </w:pPr>
      <w:r>
        <w:rPr>
          <w:rFonts w:cs="Garamond" w:ascii="Garamond" w:hAnsi="Garamond"/>
          <w:sz w:val="24"/>
        </w:rPr>
        <w:t>Pro-active ex ante regulation of network access terms and abandonment of negotiated TPA based on “voluntary agreements”.</w:t>
      </w:r>
    </w:p>
    <w:p>
      <w:pPr>
        <w:pStyle w:val="Normal"/>
        <w:numPr>
          <w:ilvl w:val="0"/>
          <w:numId w:val="14"/>
        </w:numPr>
        <w:jc w:val="both"/>
        <w:rPr>
          <w:rFonts w:ascii="Garamond" w:hAnsi="Garamond" w:cs="Garamond"/>
          <w:sz w:val="24"/>
        </w:rPr>
      </w:pPr>
      <w:r>
        <w:rPr>
          <w:rFonts w:cs="Garamond" w:ascii="Garamond" w:hAnsi="Garamond"/>
          <w:sz w:val="24"/>
        </w:rPr>
        <w:t>Reduction of impediments to cross border trade in power and gas, especially the resolution of long-term capacity reservation legacy contracts, the introduction of market based congestion management and the abolition of transaction based cross border transmission fees.</w:t>
      </w:r>
    </w:p>
    <w:p>
      <w:pPr>
        <w:pStyle w:val="Normal"/>
        <w:numPr>
          <w:ilvl w:val="0"/>
          <w:numId w:val="14"/>
        </w:numPr>
        <w:jc w:val="both"/>
        <w:rPr>
          <w:rFonts w:ascii="Garamond" w:hAnsi="Garamond" w:cs="Garamond"/>
          <w:sz w:val="24"/>
        </w:rPr>
      </w:pPr>
      <w:r>
        <w:rPr>
          <w:rFonts w:cs="Garamond" w:ascii="Garamond" w:hAnsi="Garamond"/>
          <w:sz w:val="24"/>
        </w:rPr>
        <w:t>Mitigation of impact and anti-competitive effect of existing national/regional power generation and supply and gas importation monopolies/oligopolies; prevention of further significant consolidation.</w:t>
      </w:r>
    </w:p>
    <w:p>
      <w:pPr>
        <w:pStyle w:val="Normal"/>
        <w:numPr>
          <w:ilvl w:val="0"/>
          <w:numId w:val="14"/>
        </w:numPr>
        <w:jc w:val="both"/>
        <w:rPr>
          <w:rFonts w:ascii="Garamond" w:hAnsi="Garamond" w:cs="Garamond"/>
          <w:sz w:val="22"/>
        </w:rPr>
      </w:pPr>
      <w:r>
        <w:rPr>
          <w:rFonts w:cs="Garamond" w:ascii="Garamond" w:hAnsi="Garamond"/>
          <w:sz w:val="24"/>
        </w:rPr>
        <w:t>The establishment/continuation of transparent, non-discriminatory and harmonised regulatory frameworks for trading in financial derivatives, renewables certificates, emissions credits, bandwidth and other developing products/instruments.</w:t>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r>
    </w:p>
    <w:p>
      <w:pPr>
        <w:pStyle w:val="Heading3"/>
        <w:ind w:hanging="0" w:start="0"/>
        <w:jc w:val="both"/>
        <w:rPr>
          <w:rFonts w:ascii="Garamond" w:hAnsi="Garamond" w:cs="Garamond"/>
          <w:sz w:val="28"/>
        </w:rPr>
      </w:pPr>
      <w:r>
        <w:rPr>
          <w:rFonts w:cs="Garamond" w:ascii="Garamond" w:hAnsi="Garamond"/>
          <w:sz w:val="28"/>
        </w:rPr>
        <w:t>ISSUES</w:t>
      </w:r>
    </w:p>
    <w:p>
      <w:pPr>
        <w:pStyle w:val="Normal"/>
        <w:jc w:val="both"/>
        <w:rPr>
          <w:rFonts w:ascii="Garamond" w:hAnsi="Garamond" w:cs="Garamond"/>
          <w:sz w:val="22"/>
        </w:rPr>
      </w:pPr>
      <w:r>
        <w:rPr>
          <w:rFonts w:cs="Garamond" w:ascii="Garamond" w:hAnsi="Garamond"/>
          <w:sz w:val="22"/>
        </w:rPr>
      </w:r>
    </w:p>
    <w:p>
      <w:pPr>
        <w:pStyle w:val="Heading4"/>
        <w:numPr>
          <w:ilvl w:val="0"/>
          <w:numId w:val="4"/>
        </w:numPr>
        <w:ind w:hanging="0" w:start="0"/>
        <w:jc w:val="both"/>
        <w:rPr>
          <w:rFonts w:ascii="Garamond" w:hAnsi="Garamond" w:cs="Garamond"/>
          <w:b/>
          <w:sz w:val="26"/>
        </w:rPr>
      </w:pPr>
      <w:r>
        <w:rPr>
          <w:rFonts w:cs="Garamond" w:ascii="Garamond" w:hAnsi="Garamond"/>
          <w:b/>
          <w:sz w:val="26"/>
        </w:rPr>
        <w:t>Cross Border and Pan-CWE Power</w:t>
      </w:r>
    </w:p>
    <w:p>
      <w:pPr>
        <w:pStyle w:val="Normal"/>
        <w:jc w:val="both"/>
        <w:rPr>
          <w:rFonts w:ascii="Garamond" w:hAnsi="Garamond" w:cs="Garamond"/>
          <w:b/>
          <w:sz w:val="26"/>
        </w:rPr>
      </w:pPr>
      <w:r>
        <w:rPr>
          <w:rFonts w:cs="Garamond" w:ascii="Garamond" w:hAnsi="Garamond"/>
          <w:b/>
          <w:sz w:val="26"/>
        </w:rPr>
      </w:r>
    </w:p>
    <w:p>
      <w:pPr>
        <w:pStyle w:val="Normal"/>
        <w:numPr>
          <w:ilvl w:val="0"/>
          <w:numId w:val="10"/>
        </w:numPr>
        <w:jc w:val="both"/>
        <w:rPr>
          <w:rFonts w:ascii="Garamond" w:hAnsi="Garamond" w:cs="Garamond"/>
          <w:b/>
          <w:sz w:val="24"/>
        </w:rPr>
      </w:pPr>
      <w:r>
        <w:rPr>
          <w:rFonts w:cs="Garamond" w:ascii="Garamond" w:hAnsi="Garamond"/>
          <w:b/>
          <w:sz w:val="24"/>
        </w:rPr>
        <w:t>Promoting Acceleration and Deepening of Electricity Liberalisation</w:t>
      </w:r>
    </w:p>
    <w:p>
      <w:pPr>
        <w:pStyle w:val="Normal"/>
        <w:numPr>
          <w:ilvl w:val="0"/>
          <w:numId w:val="5"/>
        </w:numPr>
        <w:tabs>
          <w:tab w:val="clear" w:pos="720"/>
          <w:tab w:val="left" w:pos="1440" w:leader="none"/>
        </w:tabs>
        <w:ind w:hanging="360" w:start="1440" w:end="0"/>
        <w:jc w:val="both"/>
        <w:rPr>
          <w:rFonts w:ascii="Garamond" w:hAnsi="Garamond" w:cs="Garamond"/>
          <w:sz w:val="24"/>
        </w:rPr>
      </w:pPr>
      <w:r>
        <w:rPr>
          <w:rFonts w:cs="Garamond" w:ascii="Garamond" w:hAnsi="Garamond"/>
          <w:sz w:val="24"/>
        </w:rPr>
        <w:t>Giving input to Commission, MEPs and Member State governments regarding development of wholesale markets</w:t>
      </w:r>
    </w:p>
    <w:p>
      <w:pPr>
        <w:pStyle w:val="Normal"/>
        <w:numPr>
          <w:ilvl w:val="0"/>
          <w:numId w:val="5"/>
        </w:numPr>
        <w:tabs>
          <w:tab w:val="clear" w:pos="720"/>
          <w:tab w:val="left" w:pos="1440" w:leader="none"/>
        </w:tabs>
        <w:ind w:hanging="360" w:start="1440" w:end="0"/>
        <w:jc w:val="both"/>
        <w:rPr>
          <w:rFonts w:ascii="Garamond" w:hAnsi="Garamond" w:cs="Garamond"/>
          <w:sz w:val="24"/>
        </w:rPr>
      </w:pPr>
      <w:r>
        <w:rPr>
          <w:rFonts w:cs="Garamond" w:ascii="Garamond" w:hAnsi="Garamond"/>
          <w:sz w:val="24"/>
        </w:rPr>
        <w:t>Elaborating arguments to support 100% market opening and complete unbundling</w:t>
      </w:r>
    </w:p>
    <w:p>
      <w:pPr>
        <w:pStyle w:val="Normal"/>
        <w:numPr>
          <w:ilvl w:val="0"/>
          <w:numId w:val="5"/>
        </w:numPr>
        <w:tabs>
          <w:tab w:val="clear" w:pos="720"/>
          <w:tab w:val="left" w:pos="1440" w:leader="none"/>
        </w:tabs>
        <w:ind w:hanging="360" w:start="1440" w:end="0"/>
        <w:jc w:val="both"/>
        <w:rPr>
          <w:rFonts w:ascii="Garamond" w:hAnsi="Garamond" w:cs="Garamond"/>
          <w:sz w:val="24"/>
        </w:rPr>
      </w:pPr>
      <w:r>
        <w:rPr>
          <w:rFonts w:cs="Garamond" w:ascii="Garamond" w:hAnsi="Garamond"/>
          <w:sz w:val="24"/>
        </w:rPr>
        <w:t>Monitoring progress of draft legislation</w:t>
      </w:r>
    </w:p>
    <w:p>
      <w:pPr>
        <w:pStyle w:val="Normal"/>
        <w:numPr>
          <w:ilvl w:val="0"/>
          <w:numId w:val="10"/>
        </w:numPr>
        <w:jc w:val="both"/>
        <w:rPr>
          <w:rFonts w:ascii="Garamond" w:hAnsi="Garamond" w:cs="Garamond"/>
          <w:b/>
          <w:sz w:val="24"/>
        </w:rPr>
      </w:pPr>
      <w:r>
        <w:rPr>
          <w:rFonts w:cs="Garamond" w:ascii="Garamond" w:hAnsi="Garamond"/>
          <w:b/>
          <w:sz w:val="24"/>
        </w:rPr>
        <w:t>Cross Border, Transaction-Related Transmission Charging (Florence)</w:t>
      </w:r>
    </w:p>
    <w:p>
      <w:pPr>
        <w:pStyle w:val="Normal"/>
        <w:numPr>
          <w:ilvl w:val="0"/>
          <w:numId w:val="6"/>
        </w:numPr>
        <w:tabs>
          <w:tab w:val="clear" w:pos="720"/>
          <w:tab w:val="left" w:pos="1440" w:leader="none"/>
        </w:tabs>
        <w:ind w:hanging="360" w:start="1440" w:end="0"/>
        <w:jc w:val="both"/>
        <w:rPr>
          <w:rFonts w:ascii="Garamond" w:hAnsi="Garamond" w:cs="Garamond"/>
          <w:sz w:val="24"/>
        </w:rPr>
      </w:pPr>
      <w:r>
        <w:rPr>
          <w:rFonts w:cs="Garamond" w:ascii="Garamond" w:hAnsi="Garamond"/>
          <w:sz w:val="24"/>
        </w:rPr>
        <w:t>Leading the EFET resistance through Florence Forum regulatory process and counterparty action inside Germany</w:t>
      </w:r>
    </w:p>
    <w:p>
      <w:pPr>
        <w:pStyle w:val="Normal"/>
        <w:numPr>
          <w:ilvl w:val="0"/>
          <w:numId w:val="10"/>
        </w:numPr>
        <w:jc w:val="both"/>
        <w:rPr>
          <w:rFonts w:ascii="Garamond" w:hAnsi="Garamond" w:cs="Garamond"/>
          <w:sz w:val="24"/>
        </w:rPr>
      </w:pPr>
      <w:r>
        <w:rPr>
          <w:rFonts w:cs="Garamond" w:ascii="Garamond" w:hAnsi="Garamond"/>
          <w:b/>
          <w:sz w:val="24"/>
        </w:rPr>
        <w:t>Incumbents’ Reservation of Capacity for LT Contracts at Border     Interconnection Points</w:t>
      </w:r>
    </w:p>
    <w:p>
      <w:pPr>
        <w:pStyle w:val="Normal"/>
        <w:numPr>
          <w:ilvl w:val="0"/>
          <w:numId w:val="2"/>
        </w:numPr>
        <w:tabs>
          <w:tab w:val="clear" w:pos="720"/>
          <w:tab w:val="left" w:pos="1440" w:leader="none"/>
        </w:tabs>
        <w:ind w:hanging="360" w:start="1440" w:end="0"/>
        <w:jc w:val="both"/>
        <w:rPr>
          <w:rFonts w:ascii="Garamond" w:hAnsi="Garamond" w:cs="Garamond"/>
          <w:sz w:val="24"/>
        </w:rPr>
      </w:pPr>
      <w:r>
        <w:rPr>
          <w:rFonts w:cs="Garamond" w:ascii="Garamond" w:hAnsi="Garamond"/>
          <w:sz w:val="24"/>
        </w:rPr>
        <w:t>Interventions in NL, Spanish and Italian border capacity reservation investigations</w:t>
      </w:r>
    </w:p>
    <w:p>
      <w:pPr>
        <w:pStyle w:val="Normal"/>
        <w:numPr>
          <w:ilvl w:val="0"/>
          <w:numId w:val="2"/>
        </w:numPr>
        <w:tabs>
          <w:tab w:val="clear" w:pos="720"/>
          <w:tab w:val="left" w:pos="1440" w:leader="none"/>
        </w:tabs>
        <w:ind w:hanging="360" w:start="1440" w:end="0"/>
        <w:jc w:val="both"/>
        <w:rPr>
          <w:rFonts w:ascii="Garamond" w:hAnsi="Garamond" w:cs="Garamond"/>
          <w:sz w:val="24"/>
        </w:rPr>
      </w:pPr>
      <w:r>
        <w:rPr>
          <w:rFonts w:cs="Garamond" w:ascii="Garamond" w:hAnsi="Garamond"/>
          <w:sz w:val="24"/>
        </w:rPr>
        <w:t>Commentaries on EC transmission infrastructure development policy</w:t>
      </w:r>
    </w:p>
    <w:p>
      <w:pPr>
        <w:pStyle w:val="Normal"/>
        <w:numPr>
          <w:ilvl w:val="0"/>
          <w:numId w:val="10"/>
        </w:numPr>
        <w:tabs>
          <w:tab w:val="clear" w:pos="720"/>
          <w:tab w:val="left" w:pos="1080" w:leader="none"/>
        </w:tabs>
        <w:jc w:val="both"/>
        <w:rPr>
          <w:rFonts w:ascii="Garamond" w:hAnsi="Garamond" w:cs="Garamond"/>
          <w:b/>
          <w:sz w:val="24"/>
        </w:rPr>
      </w:pPr>
      <w:r>
        <w:rPr>
          <w:rFonts w:cs="Garamond" w:ascii="Garamond" w:hAnsi="Garamond"/>
          <w:b/>
          <w:sz w:val="24"/>
        </w:rPr>
        <w:t>Market Based Constrained Transmission Capacity Allocation Methods (Florence)</w:t>
      </w:r>
    </w:p>
    <w:p>
      <w:pPr>
        <w:pStyle w:val="Normal"/>
        <w:numPr>
          <w:ilvl w:val="0"/>
          <w:numId w:val="13"/>
        </w:numPr>
        <w:tabs>
          <w:tab w:val="clear" w:pos="720"/>
          <w:tab w:val="left" w:pos="1440" w:leader="none"/>
        </w:tabs>
        <w:ind w:hanging="360" w:start="1440" w:end="0"/>
        <w:jc w:val="both"/>
        <w:rPr>
          <w:rFonts w:ascii="Garamond" w:hAnsi="Garamond" w:cs="Garamond"/>
          <w:sz w:val="24"/>
        </w:rPr>
      </w:pPr>
      <w:r>
        <w:rPr>
          <w:rFonts w:cs="Garamond" w:ascii="Garamond" w:hAnsi="Garamond"/>
          <w:sz w:val="24"/>
        </w:rPr>
        <w:t>Advocacy through EFET and Enron papers, consultations with Commission and submissions to national regulators, of advantageous border allocation regimes</w:t>
      </w:r>
    </w:p>
    <w:p>
      <w:pPr>
        <w:pStyle w:val="Normal"/>
        <w:numPr>
          <w:ilvl w:val="0"/>
          <w:numId w:val="13"/>
        </w:numPr>
        <w:tabs>
          <w:tab w:val="clear" w:pos="720"/>
          <w:tab w:val="left" w:pos="1440" w:leader="none"/>
        </w:tabs>
        <w:ind w:hanging="360" w:start="1440" w:end="0"/>
        <w:jc w:val="both"/>
        <w:rPr>
          <w:rFonts w:ascii="Garamond" w:hAnsi="Garamond" w:cs="Garamond"/>
          <w:sz w:val="24"/>
        </w:rPr>
      </w:pPr>
      <w:r>
        <w:rPr>
          <w:rFonts w:cs="Garamond" w:ascii="Garamond" w:hAnsi="Garamond"/>
          <w:sz w:val="24"/>
        </w:rPr>
        <w:t>Elaboration of implicit auction and market splitting models</w:t>
      </w:r>
    </w:p>
    <w:p>
      <w:pPr>
        <w:pStyle w:val="Normal"/>
        <w:numPr>
          <w:ilvl w:val="0"/>
          <w:numId w:val="10"/>
        </w:numPr>
        <w:tabs>
          <w:tab w:val="clear" w:pos="720"/>
          <w:tab w:val="left" w:pos="1440" w:leader="none"/>
        </w:tabs>
        <w:jc w:val="both"/>
        <w:rPr>
          <w:rFonts w:ascii="Garamond" w:hAnsi="Garamond" w:cs="Garamond"/>
          <w:b/>
          <w:sz w:val="24"/>
        </w:rPr>
      </w:pPr>
      <w:r>
        <w:rPr>
          <w:rFonts w:cs="Garamond" w:ascii="Garamond" w:hAnsi="Garamond"/>
          <w:b/>
          <w:sz w:val="24"/>
        </w:rPr>
        <w:t xml:space="preserve">Interconnector Access Proceedings/Interventions </w:t>
      </w:r>
    </w:p>
    <w:p>
      <w:pPr>
        <w:pStyle w:val="Normal"/>
        <w:numPr>
          <w:ilvl w:val="0"/>
          <w:numId w:val="11"/>
        </w:numPr>
        <w:tabs>
          <w:tab w:val="clear" w:pos="720"/>
          <w:tab w:val="left" w:pos="1440" w:leader="none"/>
        </w:tabs>
        <w:ind w:hanging="360" w:start="1440" w:end="0"/>
        <w:jc w:val="both"/>
        <w:rPr>
          <w:rFonts w:ascii="Garamond" w:hAnsi="Garamond" w:cs="Garamond"/>
          <w:sz w:val="24"/>
        </w:rPr>
      </w:pPr>
      <w:r>
        <w:rPr>
          <w:rFonts w:cs="Garamond" w:ascii="Garamond" w:hAnsi="Garamond"/>
          <w:sz w:val="24"/>
        </w:rPr>
        <w:t>Norway/Netherlands cable (EC questionnaire)</w:t>
      </w:r>
    </w:p>
    <w:p>
      <w:pPr>
        <w:pStyle w:val="Normal"/>
        <w:numPr>
          <w:ilvl w:val="0"/>
          <w:numId w:val="11"/>
        </w:numPr>
        <w:tabs>
          <w:tab w:val="clear" w:pos="720"/>
          <w:tab w:val="left" w:pos="1440" w:leader="none"/>
        </w:tabs>
        <w:ind w:hanging="360" w:start="1440" w:end="0"/>
        <w:jc w:val="both"/>
        <w:rPr>
          <w:rFonts w:ascii="Garamond" w:hAnsi="Garamond" w:cs="Garamond"/>
          <w:sz w:val="24"/>
        </w:rPr>
      </w:pPr>
      <w:r>
        <w:rPr>
          <w:rFonts w:cs="Garamond" w:ascii="Garamond" w:hAnsi="Garamond"/>
          <w:sz w:val="24"/>
        </w:rPr>
        <w:t>Viking Cable (EC Notice)</w:t>
      </w:r>
    </w:p>
    <w:p>
      <w:pPr>
        <w:pStyle w:val="Normal"/>
        <w:numPr>
          <w:ilvl w:val="0"/>
          <w:numId w:val="11"/>
        </w:numPr>
        <w:tabs>
          <w:tab w:val="clear" w:pos="720"/>
          <w:tab w:val="left" w:pos="1440" w:leader="none"/>
        </w:tabs>
        <w:ind w:hanging="360" w:start="1440" w:end="0"/>
        <w:jc w:val="both"/>
        <w:rPr>
          <w:rFonts w:ascii="Garamond" w:hAnsi="Garamond" w:cs="Garamond"/>
          <w:sz w:val="24"/>
        </w:rPr>
      </w:pPr>
      <w:r>
        <w:rPr>
          <w:rFonts w:cs="Garamond" w:ascii="Garamond" w:hAnsi="Garamond"/>
          <w:sz w:val="24"/>
        </w:rPr>
        <w:t>SwePol (Swedish regulator)</w:t>
      </w:r>
    </w:p>
    <w:p>
      <w:pPr>
        <w:pStyle w:val="BodyText2"/>
        <w:numPr>
          <w:ilvl w:val="0"/>
          <w:numId w:val="11"/>
        </w:numPr>
        <w:tabs>
          <w:tab w:val="clear" w:pos="720"/>
          <w:tab w:val="left" w:pos="1440" w:leader="none"/>
        </w:tabs>
        <w:ind w:hanging="360" w:start="1440" w:end="0"/>
        <w:jc w:val="both"/>
        <w:rPr>
          <w:rFonts w:ascii="Garamond" w:hAnsi="Garamond" w:cs="Garamond"/>
        </w:rPr>
      </w:pPr>
      <w:r>
        <w:rPr>
          <w:rFonts w:cs="Garamond" w:ascii="Garamond" w:hAnsi="Garamond"/>
        </w:rPr>
        <w:t>Italy-Greece interconnector (Greek regulator)</w:t>
      </w:r>
    </w:p>
    <w:p>
      <w:pPr>
        <w:pStyle w:val="Normal"/>
        <w:numPr>
          <w:ilvl w:val="0"/>
          <w:numId w:val="11"/>
        </w:numPr>
        <w:tabs>
          <w:tab w:val="clear" w:pos="720"/>
          <w:tab w:val="left" w:pos="1440" w:leader="none"/>
        </w:tabs>
        <w:ind w:hanging="360" w:start="1440" w:end="0"/>
        <w:jc w:val="both"/>
        <w:rPr>
          <w:rFonts w:ascii="Garamond" w:hAnsi="Garamond" w:cs="Garamond"/>
          <w:sz w:val="24"/>
        </w:rPr>
      </w:pPr>
      <w:r>
        <w:rPr>
          <w:rFonts w:cs="Garamond" w:ascii="Garamond" w:hAnsi="Garamond"/>
          <w:sz w:val="24"/>
        </w:rPr>
        <w:t>Baltic Cable (Swedish Regulator/BKartA)</w:t>
      </w:r>
    </w:p>
    <w:p>
      <w:pPr>
        <w:pStyle w:val="Normal"/>
        <w:numPr>
          <w:ilvl w:val="0"/>
          <w:numId w:val="10"/>
        </w:numPr>
        <w:jc w:val="both"/>
        <w:rPr>
          <w:rFonts w:ascii="Garamond" w:hAnsi="Garamond" w:cs="Garamond"/>
          <w:b/>
          <w:sz w:val="24"/>
        </w:rPr>
      </w:pPr>
      <w:r>
        <w:rPr>
          <w:rFonts w:cs="Garamond" w:ascii="Garamond" w:hAnsi="Garamond"/>
          <w:b/>
          <w:sz w:val="24"/>
        </w:rPr>
        <w:t>Merger and JV Proceedings/Interventions</w:t>
      </w:r>
    </w:p>
    <w:p>
      <w:pPr>
        <w:pStyle w:val="Normal"/>
        <w:numPr>
          <w:ilvl w:val="0"/>
          <w:numId w:val="17"/>
        </w:numPr>
        <w:tabs>
          <w:tab w:val="clear" w:pos="720"/>
          <w:tab w:val="left" w:pos="1440" w:leader="none"/>
        </w:tabs>
        <w:ind w:hanging="360" w:start="1440" w:end="0"/>
        <w:jc w:val="both"/>
        <w:rPr>
          <w:rFonts w:ascii="Garamond" w:hAnsi="Garamond" w:cs="Garamond"/>
          <w:b/>
          <w:sz w:val="24"/>
        </w:rPr>
      </w:pPr>
      <w:r>
        <w:rPr>
          <w:rFonts w:cs="Garamond" w:ascii="Garamond" w:hAnsi="Garamond"/>
          <w:sz w:val="24"/>
        </w:rPr>
        <w:t>French VPPs follow up</w:t>
      </w:r>
    </w:p>
    <w:p>
      <w:pPr>
        <w:pStyle w:val="Normal"/>
        <w:numPr>
          <w:ilvl w:val="0"/>
          <w:numId w:val="17"/>
        </w:numPr>
        <w:tabs>
          <w:tab w:val="clear" w:pos="720"/>
          <w:tab w:val="left" w:pos="1440" w:leader="none"/>
        </w:tabs>
        <w:ind w:hanging="360" w:start="1440" w:end="0"/>
        <w:jc w:val="both"/>
        <w:rPr>
          <w:rFonts w:ascii="Garamond" w:hAnsi="Garamond" w:cs="Garamond"/>
          <w:b/>
          <w:sz w:val="24"/>
        </w:rPr>
      </w:pPr>
      <w:r>
        <w:rPr>
          <w:rFonts w:cs="Garamond" w:ascii="Garamond" w:hAnsi="Garamond"/>
          <w:sz w:val="24"/>
        </w:rPr>
        <w:t>EnBW/Hidrocantabrico (Decision imminent)</w:t>
      </w:r>
    </w:p>
    <w:p>
      <w:pPr>
        <w:pStyle w:val="Normal"/>
        <w:numPr>
          <w:ilvl w:val="0"/>
          <w:numId w:val="17"/>
        </w:numPr>
        <w:tabs>
          <w:tab w:val="clear" w:pos="720"/>
          <w:tab w:val="left" w:pos="1440" w:leader="none"/>
        </w:tabs>
        <w:ind w:hanging="360" w:start="1440" w:end="0"/>
        <w:jc w:val="both"/>
        <w:rPr>
          <w:rFonts w:ascii="Garamond" w:hAnsi="Garamond" w:cs="Garamond"/>
          <w:b/>
          <w:sz w:val="24"/>
        </w:rPr>
      </w:pPr>
      <w:r>
        <w:rPr>
          <w:rFonts w:cs="Garamond" w:ascii="Garamond" w:hAnsi="Garamond"/>
          <w:sz w:val="24"/>
        </w:rPr>
        <w:t>Italenergia (resolved Phase 1)</w:t>
      </w:r>
    </w:p>
    <w:p>
      <w:pPr>
        <w:pStyle w:val="Normal"/>
        <w:numPr>
          <w:ilvl w:val="0"/>
          <w:numId w:val="17"/>
        </w:numPr>
        <w:tabs>
          <w:tab w:val="clear" w:pos="720"/>
          <w:tab w:val="left" w:pos="1440" w:leader="none"/>
        </w:tabs>
        <w:ind w:hanging="360" w:start="1440" w:end="0"/>
        <w:jc w:val="both"/>
        <w:rPr>
          <w:rFonts w:ascii="Garamond" w:hAnsi="Garamond" w:cs="Garamond"/>
          <w:b/>
          <w:sz w:val="24"/>
        </w:rPr>
      </w:pPr>
      <w:r>
        <w:rPr>
          <w:rFonts w:cs="Garamond" w:ascii="Garamond" w:hAnsi="Garamond"/>
          <w:sz w:val="24"/>
        </w:rPr>
        <w:t>ENEL divestments/Viesgo swap</w:t>
      </w:r>
    </w:p>
    <w:p>
      <w:pPr>
        <w:pStyle w:val="Normal"/>
        <w:jc w:val="both"/>
        <w:rPr>
          <w:rFonts w:ascii="Garamond" w:hAnsi="Garamond" w:cs="Garamond"/>
          <w:b/>
          <w:sz w:val="22"/>
        </w:rPr>
      </w:pPr>
      <w:r>
        <w:rPr>
          <w:rFonts w:cs="Garamond" w:ascii="Garamond" w:hAnsi="Garamond"/>
          <w:b/>
          <w:sz w:val="22"/>
        </w:rPr>
      </w:r>
    </w:p>
    <w:p>
      <w:pPr>
        <w:pStyle w:val="Heading4"/>
        <w:numPr>
          <w:ilvl w:val="0"/>
          <w:numId w:val="4"/>
        </w:numPr>
        <w:ind w:hanging="0" w:start="0"/>
        <w:jc w:val="both"/>
        <w:rPr>
          <w:rFonts w:ascii="Garamond" w:hAnsi="Garamond" w:cs="Garamond"/>
          <w:b/>
          <w:sz w:val="26"/>
        </w:rPr>
      </w:pPr>
      <w:r>
        <w:rPr>
          <w:rFonts w:cs="Garamond" w:ascii="Garamond" w:hAnsi="Garamond"/>
          <w:b/>
          <w:sz w:val="26"/>
        </w:rPr>
        <w:t>Cross Border and Pan-CWE Gas</w:t>
      </w:r>
    </w:p>
    <w:p>
      <w:pPr>
        <w:pStyle w:val="Normal"/>
        <w:jc w:val="both"/>
        <w:rPr>
          <w:rFonts w:ascii="Garamond" w:hAnsi="Garamond" w:cs="Garamond"/>
          <w:b/>
          <w:sz w:val="26"/>
        </w:rPr>
      </w:pPr>
      <w:r>
        <w:rPr>
          <w:rFonts w:cs="Garamond" w:ascii="Garamond" w:hAnsi="Garamond"/>
          <w:b/>
          <w:sz w:val="26"/>
        </w:rPr>
      </w:r>
    </w:p>
    <w:p>
      <w:pPr>
        <w:pStyle w:val="Normal"/>
        <w:numPr>
          <w:ilvl w:val="0"/>
          <w:numId w:val="7"/>
        </w:numPr>
        <w:jc w:val="both"/>
        <w:rPr>
          <w:rFonts w:ascii="Garamond" w:hAnsi="Garamond" w:cs="Garamond"/>
          <w:b/>
          <w:sz w:val="24"/>
        </w:rPr>
      </w:pPr>
      <w:r>
        <w:rPr>
          <w:rFonts w:cs="Garamond" w:ascii="Garamond" w:hAnsi="Garamond"/>
          <w:b/>
          <w:sz w:val="24"/>
        </w:rPr>
        <w:t>Promoting Acceleration and Deepening of Gas Liberalisation</w:t>
      </w:r>
    </w:p>
    <w:p>
      <w:pPr>
        <w:pStyle w:val="Normal"/>
        <w:numPr>
          <w:ilvl w:val="0"/>
          <w:numId w:val="8"/>
        </w:numPr>
        <w:tabs>
          <w:tab w:val="clear" w:pos="720"/>
          <w:tab w:val="left" w:pos="1440" w:leader="none"/>
        </w:tabs>
        <w:ind w:hanging="360" w:start="1440" w:end="0"/>
        <w:jc w:val="both"/>
        <w:rPr>
          <w:rFonts w:ascii="Garamond" w:hAnsi="Garamond" w:cs="Garamond"/>
          <w:sz w:val="24"/>
        </w:rPr>
      </w:pPr>
      <w:r>
        <w:rPr>
          <w:rFonts w:cs="Garamond" w:ascii="Garamond" w:hAnsi="Garamond"/>
          <w:sz w:val="24"/>
        </w:rPr>
        <w:t>[See A.1 above]</w:t>
      </w:r>
    </w:p>
    <w:p>
      <w:pPr>
        <w:pStyle w:val="Normal"/>
        <w:numPr>
          <w:ilvl w:val="0"/>
          <w:numId w:val="7"/>
        </w:numPr>
        <w:jc w:val="both"/>
        <w:rPr>
          <w:rFonts w:ascii="Garamond" w:hAnsi="Garamond" w:cs="Garamond"/>
          <w:b/>
          <w:sz w:val="24"/>
        </w:rPr>
      </w:pPr>
      <w:r>
        <w:rPr>
          <w:rFonts w:cs="Garamond" w:ascii="Garamond" w:hAnsi="Garamond"/>
          <w:b/>
          <w:sz w:val="24"/>
        </w:rPr>
        <w:t>Formation of Continental Gas Trading Hubs Beyond Zeebrugge</w:t>
      </w:r>
    </w:p>
    <w:p>
      <w:pPr>
        <w:pStyle w:val="Normal"/>
        <w:numPr>
          <w:ilvl w:val="0"/>
          <w:numId w:val="16"/>
        </w:numPr>
        <w:tabs>
          <w:tab w:val="clear" w:pos="720"/>
          <w:tab w:val="left" w:pos="1440" w:leader="none"/>
        </w:tabs>
        <w:ind w:hanging="360" w:start="1440" w:end="0"/>
        <w:jc w:val="both"/>
        <w:rPr>
          <w:rFonts w:ascii="Garamond" w:hAnsi="Garamond" w:cs="Garamond"/>
          <w:sz w:val="24"/>
        </w:rPr>
      </w:pPr>
      <w:r>
        <w:rPr>
          <w:rFonts w:cs="Garamond" w:ascii="Garamond" w:hAnsi="Garamond"/>
          <w:sz w:val="24"/>
        </w:rPr>
        <w:t>“</w:t>
      </w:r>
      <w:r>
        <w:rPr>
          <w:rFonts w:cs="Garamond" w:ascii="Garamond" w:hAnsi="Garamond"/>
          <w:sz w:val="24"/>
        </w:rPr>
        <w:t>Heathrow group” initiative for Bunde/Emden hub</w:t>
      </w:r>
    </w:p>
    <w:p>
      <w:pPr>
        <w:pStyle w:val="Normal"/>
        <w:numPr>
          <w:ilvl w:val="0"/>
          <w:numId w:val="16"/>
        </w:numPr>
        <w:tabs>
          <w:tab w:val="clear" w:pos="720"/>
          <w:tab w:val="left" w:pos="1440" w:leader="none"/>
        </w:tabs>
        <w:ind w:hanging="360" w:start="1440" w:end="0"/>
        <w:jc w:val="both"/>
        <w:rPr>
          <w:rFonts w:ascii="Garamond" w:hAnsi="Garamond" w:cs="Garamond"/>
          <w:sz w:val="24"/>
        </w:rPr>
      </w:pPr>
      <w:r>
        <w:rPr>
          <w:rFonts w:cs="Garamond" w:ascii="Garamond" w:hAnsi="Garamond"/>
          <w:sz w:val="24"/>
        </w:rPr>
        <w:t>Access to capacity on Norwegian pipelines to Zeebrugge, Emden, Dunkirk</w:t>
      </w:r>
    </w:p>
    <w:p>
      <w:pPr>
        <w:pStyle w:val="Normal"/>
        <w:numPr>
          <w:ilvl w:val="0"/>
          <w:numId w:val="16"/>
        </w:numPr>
        <w:tabs>
          <w:tab w:val="clear" w:pos="720"/>
          <w:tab w:val="left" w:pos="1440" w:leader="none"/>
        </w:tabs>
        <w:ind w:hanging="360" w:start="1440" w:end="0"/>
        <w:jc w:val="both"/>
        <w:rPr>
          <w:rFonts w:ascii="Garamond" w:hAnsi="Garamond" w:cs="Garamond"/>
          <w:sz w:val="24"/>
        </w:rPr>
      </w:pPr>
      <w:r>
        <w:rPr>
          <w:rFonts w:cs="Garamond" w:ascii="Garamond" w:hAnsi="Garamond"/>
          <w:sz w:val="24"/>
        </w:rPr>
        <w:t>Access to capacity on GdF system from Dunkirk</w:t>
      </w:r>
    </w:p>
    <w:p>
      <w:pPr>
        <w:pStyle w:val="Normal"/>
        <w:numPr>
          <w:ilvl w:val="0"/>
          <w:numId w:val="16"/>
        </w:numPr>
        <w:tabs>
          <w:tab w:val="clear" w:pos="720"/>
          <w:tab w:val="left" w:pos="1440" w:leader="none"/>
        </w:tabs>
        <w:ind w:hanging="360" w:start="1440" w:end="0"/>
        <w:jc w:val="both"/>
        <w:rPr>
          <w:rFonts w:ascii="Garamond" w:hAnsi="Garamond" w:cs="Garamond"/>
          <w:sz w:val="24"/>
        </w:rPr>
      </w:pPr>
      <w:r>
        <w:rPr>
          <w:rFonts w:cs="Garamond" w:ascii="Garamond" w:hAnsi="Garamond"/>
          <w:sz w:val="24"/>
        </w:rPr>
        <w:t>Obtaining supplies of Norwegian gas at platforms or terminals</w:t>
      </w:r>
    </w:p>
    <w:p>
      <w:pPr>
        <w:pStyle w:val="Normal"/>
        <w:numPr>
          <w:ilvl w:val="0"/>
          <w:numId w:val="16"/>
        </w:numPr>
        <w:tabs>
          <w:tab w:val="clear" w:pos="720"/>
          <w:tab w:val="left" w:pos="1440" w:leader="none"/>
        </w:tabs>
        <w:ind w:hanging="360" w:start="1440" w:end="0"/>
        <w:jc w:val="both"/>
        <w:rPr>
          <w:rFonts w:ascii="Garamond" w:hAnsi="Garamond" w:cs="Garamond"/>
          <w:sz w:val="24"/>
        </w:rPr>
      </w:pPr>
      <w:r>
        <w:rPr>
          <w:rFonts w:cs="Garamond" w:ascii="Garamond" w:hAnsi="Garamond"/>
          <w:sz w:val="24"/>
        </w:rPr>
        <w:t>Balancing and other services at terminals</w:t>
      </w:r>
    </w:p>
    <w:p>
      <w:pPr>
        <w:pStyle w:val="Normal"/>
        <w:numPr>
          <w:ilvl w:val="0"/>
          <w:numId w:val="7"/>
        </w:numPr>
        <w:jc w:val="both"/>
        <w:rPr>
          <w:rFonts w:ascii="Garamond" w:hAnsi="Garamond" w:cs="Garamond"/>
          <w:b/>
          <w:sz w:val="24"/>
        </w:rPr>
      </w:pPr>
      <w:r>
        <w:rPr>
          <w:rFonts w:cs="Garamond" w:ascii="Garamond" w:hAnsi="Garamond"/>
          <w:b/>
          <w:sz w:val="24"/>
        </w:rPr>
        <w:t>National and Border Interconnection Barriers to Access (Madrid)</w:t>
      </w:r>
    </w:p>
    <w:p>
      <w:pPr>
        <w:pStyle w:val="Normal"/>
        <w:numPr>
          <w:ilvl w:val="0"/>
          <w:numId w:val="3"/>
        </w:numPr>
        <w:tabs>
          <w:tab w:val="clear" w:pos="720"/>
          <w:tab w:val="left" w:pos="1440" w:leader="none"/>
        </w:tabs>
        <w:ind w:hanging="360" w:start="1440" w:end="0"/>
        <w:jc w:val="both"/>
        <w:rPr>
          <w:rFonts w:ascii="Garamond" w:hAnsi="Garamond" w:cs="Garamond"/>
          <w:sz w:val="24"/>
        </w:rPr>
      </w:pPr>
      <w:r>
        <w:rPr>
          <w:rFonts w:cs="Garamond" w:ascii="Garamond" w:hAnsi="Garamond"/>
          <w:sz w:val="24"/>
        </w:rPr>
        <w:t>Pancaked and point-to-point tariffs</w:t>
      </w:r>
    </w:p>
    <w:p>
      <w:pPr>
        <w:pStyle w:val="Normal"/>
        <w:numPr>
          <w:ilvl w:val="0"/>
          <w:numId w:val="3"/>
        </w:numPr>
        <w:tabs>
          <w:tab w:val="clear" w:pos="720"/>
          <w:tab w:val="left" w:pos="1440" w:leader="none"/>
        </w:tabs>
        <w:ind w:hanging="360" w:start="1440" w:end="0"/>
        <w:jc w:val="both"/>
        <w:rPr>
          <w:rFonts w:ascii="Garamond" w:hAnsi="Garamond" w:cs="Garamond"/>
          <w:sz w:val="24"/>
        </w:rPr>
      </w:pPr>
      <w:r>
        <w:rPr>
          <w:rFonts w:cs="Garamond" w:ascii="Garamond" w:hAnsi="Garamond"/>
          <w:sz w:val="24"/>
        </w:rPr>
        <w:t>Non-cost reflective balancing regimes</w:t>
      </w:r>
    </w:p>
    <w:p>
      <w:pPr>
        <w:pStyle w:val="Normal"/>
        <w:numPr>
          <w:ilvl w:val="0"/>
          <w:numId w:val="3"/>
        </w:numPr>
        <w:tabs>
          <w:tab w:val="clear" w:pos="720"/>
          <w:tab w:val="left" w:pos="1440" w:leader="none"/>
        </w:tabs>
        <w:ind w:hanging="360" w:start="1440" w:end="0"/>
        <w:jc w:val="both"/>
        <w:rPr>
          <w:rFonts w:ascii="Garamond" w:hAnsi="Garamond" w:cs="Garamond"/>
          <w:sz w:val="24"/>
        </w:rPr>
      </w:pPr>
      <w:r>
        <w:rPr>
          <w:rFonts w:cs="Garamond" w:ascii="Garamond" w:hAnsi="Garamond"/>
          <w:sz w:val="24"/>
        </w:rPr>
        <w:t>Availability and price of other services: Storage, blending, metering, etc.</w:t>
      </w:r>
    </w:p>
    <w:p>
      <w:pPr>
        <w:pStyle w:val="Normal"/>
        <w:numPr>
          <w:ilvl w:val="0"/>
          <w:numId w:val="3"/>
        </w:numPr>
        <w:tabs>
          <w:tab w:val="clear" w:pos="720"/>
          <w:tab w:val="left" w:pos="1440" w:leader="none"/>
        </w:tabs>
        <w:ind w:hanging="360" w:start="1440" w:end="0"/>
        <w:jc w:val="both"/>
        <w:rPr>
          <w:rFonts w:ascii="Garamond" w:hAnsi="Garamond" w:cs="Garamond"/>
          <w:sz w:val="24"/>
        </w:rPr>
      </w:pPr>
      <w:r>
        <w:rPr>
          <w:rFonts w:cs="Garamond" w:ascii="Garamond" w:hAnsi="Garamond"/>
          <w:sz w:val="24"/>
        </w:rPr>
        <w:t xml:space="preserve">Congestion management: Excuse for refusals or delay </w:t>
      </w:r>
    </w:p>
    <w:p>
      <w:pPr>
        <w:pStyle w:val="Normal"/>
        <w:numPr>
          <w:ilvl w:val="0"/>
          <w:numId w:val="3"/>
        </w:numPr>
        <w:tabs>
          <w:tab w:val="clear" w:pos="720"/>
          <w:tab w:val="left" w:pos="1440" w:leader="none"/>
        </w:tabs>
        <w:ind w:hanging="360" w:start="1440" w:end="0"/>
        <w:jc w:val="both"/>
        <w:rPr>
          <w:rFonts w:ascii="Garamond" w:hAnsi="Garamond" w:cs="Garamond"/>
          <w:sz w:val="24"/>
        </w:rPr>
      </w:pPr>
      <w:r>
        <w:rPr>
          <w:rFonts w:cs="Garamond" w:ascii="Garamond" w:hAnsi="Garamond"/>
          <w:sz w:val="24"/>
        </w:rPr>
        <w:t>Thyssengas TPA regime: EC Questionnaire (no Enron reply)</w:t>
      </w:r>
    </w:p>
    <w:p>
      <w:pPr>
        <w:pStyle w:val="Normal"/>
        <w:numPr>
          <w:ilvl w:val="0"/>
          <w:numId w:val="7"/>
        </w:numPr>
        <w:jc w:val="both"/>
        <w:rPr>
          <w:rFonts w:ascii="Garamond" w:hAnsi="Garamond" w:cs="Garamond"/>
          <w:b/>
          <w:sz w:val="24"/>
        </w:rPr>
      </w:pPr>
      <w:r>
        <w:rPr>
          <w:rFonts w:cs="Garamond" w:ascii="Garamond" w:hAnsi="Garamond"/>
          <w:b/>
          <w:sz w:val="24"/>
        </w:rPr>
        <w:t>Anti-Competitive Incumbent Supply Practices</w:t>
      </w:r>
    </w:p>
    <w:p>
      <w:pPr>
        <w:pStyle w:val="Normal"/>
        <w:numPr>
          <w:ilvl w:val="0"/>
          <w:numId w:val="12"/>
        </w:numPr>
        <w:tabs>
          <w:tab w:val="clear" w:pos="720"/>
          <w:tab w:val="left" w:pos="1440" w:leader="none"/>
        </w:tabs>
        <w:ind w:hanging="360" w:start="1440" w:end="0"/>
        <w:jc w:val="both"/>
        <w:rPr>
          <w:rFonts w:ascii="Garamond" w:hAnsi="Garamond" w:cs="Garamond"/>
          <w:sz w:val="24"/>
        </w:rPr>
      </w:pPr>
      <w:r>
        <w:rPr>
          <w:rFonts w:cs="Garamond" w:ascii="Garamond" w:hAnsi="Garamond"/>
          <w:sz w:val="24"/>
        </w:rPr>
        <w:t>Non-resale and destination clauses (EC investigation, no Enron input)</w:t>
      </w:r>
    </w:p>
    <w:p>
      <w:pPr>
        <w:pStyle w:val="Normal"/>
        <w:numPr>
          <w:ilvl w:val="0"/>
          <w:numId w:val="12"/>
        </w:numPr>
        <w:tabs>
          <w:tab w:val="clear" w:pos="720"/>
          <w:tab w:val="left" w:pos="1440" w:leader="none"/>
        </w:tabs>
        <w:ind w:hanging="360" w:start="1440" w:end="0"/>
        <w:jc w:val="both"/>
        <w:rPr>
          <w:rFonts w:ascii="Garamond" w:hAnsi="Garamond" w:cs="Garamond"/>
          <w:sz w:val="24"/>
        </w:rPr>
      </w:pPr>
      <w:r>
        <w:rPr>
          <w:rFonts w:cs="Garamond" w:ascii="Garamond" w:hAnsi="Garamond"/>
          <w:sz w:val="24"/>
        </w:rPr>
        <w:t>Long term ToP obligations</w:t>
      </w:r>
    </w:p>
    <w:p>
      <w:pPr>
        <w:pStyle w:val="Normal"/>
        <w:numPr>
          <w:ilvl w:val="0"/>
          <w:numId w:val="12"/>
        </w:numPr>
        <w:tabs>
          <w:tab w:val="clear" w:pos="720"/>
          <w:tab w:val="left" w:pos="1440" w:leader="none"/>
        </w:tabs>
        <w:ind w:hanging="360" w:start="1440" w:end="0"/>
        <w:jc w:val="both"/>
        <w:rPr>
          <w:rFonts w:ascii="Garamond" w:hAnsi="Garamond" w:cs="Garamond"/>
          <w:sz w:val="24"/>
        </w:rPr>
      </w:pPr>
      <w:r>
        <w:rPr>
          <w:rFonts w:cs="Garamond" w:ascii="Garamond" w:hAnsi="Garamond"/>
          <w:sz w:val="24"/>
        </w:rPr>
        <w:t>Requirements and exclusivity clauses; selective rebates (EC interest)</w:t>
      </w:r>
    </w:p>
    <w:p>
      <w:pPr>
        <w:pStyle w:val="Normal"/>
        <w:numPr>
          <w:ilvl w:val="0"/>
          <w:numId w:val="7"/>
        </w:numPr>
        <w:jc w:val="both"/>
        <w:rPr>
          <w:rFonts w:ascii="Garamond" w:hAnsi="Garamond" w:cs="Garamond"/>
          <w:b/>
          <w:sz w:val="24"/>
        </w:rPr>
      </w:pPr>
      <w:r>
        <w:rPr>
          <w:rFonts w:cs="Garamond" w:ascii="Garamond" w:hAnsi="Garamond"/>
          <w:b/>
          <w:sz w:val="24"/>
        </w:rPr>
        <w:t>Merger and JV Proceedings/Interventions</w:t>
      </w:r>
    </w:p>
    <w:p>
      <w:pPr>
        <w:pStyle w:val="Normal"/>
        <w:numPr>
          <w:ilvl w:val="0"/>
          <w:numId w:val="15"/>
        </w:numPr>
        <w:tabs>
          <w:tab w:val="clear" w:pos="720"/>
          <w:tab w:val="left" w:pos="1440" w:leader="none"/>
        </w:tabs>
        <w:ind w:hanging="360" w:start="1440" w:end="0"/>
        <w:jc w:val="both"/>
        <w:rPr>
          <w:rFonts w:ascii="Garamond" w:hAnsi="Garamond" w:cs="Garamond"/>
          <w:sz w:val="24"/>
        </w:rPr>
      </w:pPr>
      <w:r>
        <w:rPr>
          <w:rFonts w:cs="Garamond" w:ascii="Garamond" w:hAnsi="Garamond"/>
          <w:sz w:val="24"/>
        </w:rPr>
        <w:t>E.On/BP sale of Ruhrgas shares: Opportunity to attack vertical integration and common interest in gas-fired generation</w:t>
      </w:r>
    </w:p>
    <w:p>
      <w:pPr>
        <w:pStyle w:val="Normal"/>
        <w:numPr>
          <w:ilvl w:val="0"/>
          <w:numId w:val="15"/>
        </w:numPr>
        <w:tabs>
          <w:tab w:val="clear" w:pos="720"/>
          <w:tab w:val="left" w:pos="1440" w:leader="none"/>
        </w:tabs>
        <w:ind w:hanging="360" w:start="1440" w:end="0"/>
        <w:jc w:val="both"/>
        <w:rPr>
          <w:rFonts w:ascii="Garamond" w:hAnsi="Garamond" w:cs="Garamond"/>
          <w:sz w:val="24"/>
        </w:rPr>
      </w:pPr>
      <w:r>
        <w:rPr>
          <w:rFonts w:cs="Garamond" w:ascii="Garamond" w:hAnsi="Garamond"/>
          <w:sz w:val="24"/>
        </w:rPr>
        <w:t>GFU: Statement of Objections outstanding (no Enron input)</w:t>
      </w:r>
    </w:p>
    <w:p>
      <w:pPr>
        <w:pStyle w:val="Normal"/>
        <w:numPr>
          <w:ilvl w:val="0"/>
          <w:numId w:val="7"/>
        </w:numPr>
        <w:jc w:val="both"/>
        <w:rPr>
          <w:rFonts w:ascii="Garamond" w:hAnsi="Garamond" w:cs="Garamond"/>
          <w:b/>
          <w:sz w:val="24"/>
        </w:rPr>
      </w:pPr>
      <w:r>
        <w:rPr>
          <w:rFonts w:cs="Garamond" w:ascii="Garamond" w:hAnsi="Garamond"/>
          <w:b/>
          <w:sz w:val="24"/>
        </w:rPr>
        <w:t>Security of Supply</w:t>
      </w:r>
    </w:p>
    <w:p>
      <w:pPr>
        <w:pStyle w:val="Normal"/>
        <w:numPr>
          <w:ilvl w:val="0"/>
          <w:numId w:val="9"/>
        </w:numPr>
        <w:tabs>
          <w:tab w:val="clear" w:pos="720"/>
          <w:tab w:val="left" w:pos="1440" w:leader="none"/>
        </w:tabs>
        <w:ind w:hanging="360" w:start="1440" w:end="0"/>
        <w:jc w:val="both"/>
        <w:rPr>
          <w:rFonts w:ascii="Garamond" w:hAnsi="Garamond" w:cs="Garamond"/>
          <w:sz w:val="24"/>
        </w:rPr>
      </w:pPr>
      <w:r>
        <w:rPr>
          <w:rFonts w:cs="Garamond" w:ascii="Garamond" w:hAnsi="Garamond"/>
          <w:sz w:val="24"/>
        </w:rPr>
        <w:t>As an excuse to hold up liberalisation by Eurogas</w:t>
      </w:r>
    </w:p>
    <w:p>
      <w:pPr>
        <w:pStyle w:val="Normal"/>
        <w:numPr>
          <w:ilvl w:val="0"/>
          <w:numId w:val="9"/>
        </w:numPr>
        <w:tabs>
          <w:tab w:val="clear" w:pos="720"/>
          <w:tab w:val="left" w:pos="1440" w:leader="none"/>
        </w:tabs>
        <w:ind w:hanging="360" w:start="1440" w:end="0"/>
        <w:jc w:val="both"/>
        <w:rPr>
          <w:rFonts w:ascii="Garamond" w:hAnsi="Garamond" w:cs="Garamond"/>
          <w:sz w:val="24"/>
        </w:rPr>
      </w:pPr>
      <w:r>
        <w:rPr>
          <w:rFonts w:cs="Garamond" w:ascii="Garamond" w:hAnsi="Garamond"/>
          <w:sz w:val="24"/>
        </w:rPr>
        <w:t>Need to establish “traded market” scenario (EFET resolve to undertake study, but no action)</w:t>
      </w:r>
    </w:p>
    <w:p>
      <w:pPr>
        <w:pStyle w:val="Normal"/>
        <w:jc w:val="both"/>
        <w:rPr>
          <w:rFonts w:ascii="Garamond" w:hAnsi="Garamond" w:cs="Garamond"/>
          <w:b/>
          <w:sz w:val="24"/>
        </w:rPr>
      </w:pPr>
      <w:r>
        <w:rPr>
          <w:rFonts w:cs="Garamond" w:ascii="Garamond" w:hAnsi="Garamond"/>
          <w:b/>
          <w:sz w:val="24"/>
        </w:rPr>
      </w:r>
    </w:p>
    <w:p>
      <w:pPr>
        <w:pStyle w:val="Heading4"/>
        <w:numPr>
          <w:ilvl w:val="0"/>
          <w:numId w:val="4"/>
        </w:numPr>
        <w:ind w:hanging="0" w:start="0"/>
        <w:rPr>
          <w:b/>
          <w:sz w:val="26"/>
        </w:rPr>
      </w:pPr>
      <w:r>
        <w:rPr>
          <w:b/>
          <w:sz w:val="26"/>
        </w:rPr>
        <w:t>Other Cross Border, Pan-CWE or EU Policies</w:t>
      </w:r>
    </w:p>
    <w:p>
      <w:pPr>
        <w:pStyle w:val="Normal"/>
        <w:ind w:start="360" w:end="0"/>
        <w:rPr>
          <w:rFonts w:ascii="Garamond" w:hAnsi="Garamond" w:cs="Garamond"/>
          <w:b/>
          <w:sz w:val="26"/>
        </w:rPr>
      </w:pPr>
      <w:r>
        <w:rPr>
          <w:rFonts w:cs="Garamond" w:ascii="Garamond" w:hAnsi="Garamond"/>
          <w:b/>
          <w:sz w:val="26"/>
        </w:rPr>
      </w:r>
    </w:p>
    <w:p>
      <w:pPr>
        <w:pStyle w:val="Normal"/>
        <w:numPr>
          <w:ilvl w:val="0"/>
          <w:numId w:val="18"/>
        </w:numPr>
        <w:jc w:val="both"/>
        <w:rPr>
          <w:rFonts w:ascii="Garamond" w:hAnsi="Garamond" w:cs="Garamond"/>
          <w:sz w:val="24"/>
        </w:rPr>
      </w:pPr>
      <w:r>
        <w:rPr>
          <w:rFonts w:cs="Garamond" w:ascii="Garamond" w:hAnsi="Garamond"/>
          <w:sz w:val="24"/>
        </w:rPr>
        <w:t>Renewables Directive and State Supports for Renewables</w:t>
      </w:r>
    </w:p>
    <w:p>
      <w:pPr>
        <w:pStyle w:val="Normal"/>
        <w:numPr>
          <w:ilvl w:val="0"/>
          <w:numId w:val="18"/>
        </w:numPr>
        <w:jc w:val="both"/>
        <w:rPr>
          <w:rFonts w:ascii="Garamond" w:hAnsi="Garamond" w:cs="Garamond"/>
          <w:sz w:val="24"/>
        </w:rPr>
      </w:pPr>
      <w:r>
        <w:rPr>
          <w:rFonts w:cs="Garamond" w:ascii="Garamond" w:hAnsi="Garamond"/>
          <w:sz w:val="24"/>
        </w:rPr>
        <w:t>National/EU Plans for Emissions Credits Trading Regimes</w:t>
      </w:r>
    </w:p>
    <w:p>
      <w:pPr>
        <w:pStyle w:val="Normal"/>
        <w:numPr>
          <w:ilvl w:val="0"/>
          <w:numId w:val="18"/>
        </w:numPr>
        <w:jc w:val="both"/>
        <w:rPr>
          <w:rFonts w:ascii="Garamond" w:hAnsi="Garamond" w:cs="Garamond"/>
          <w:sz w:val="24"/>
        </w:rPr>
      </w:pPr>
      <w:r>
        <w:rPr>
          <w:rFonts w:cs="Garamond" w:ascii="Garamond" w:hAnsi="Garamond"/>
          <w:sz w:val="24"/>
        </w:rPr>
        <w:t>Trade, Competition and State Aid Rules for Coal, Steel and Freight Sectors</w:t>
      </w:r>
    </w:p>
    <w:p>
      <w:pPr>
        <w:pStyle w:val="Normal"/>
        <w:numPr>
          <w:ilvl w:val="0"/>
          <w:numId w:val="18"/>
        </w:numPr>
        <w:jc w:val="both"/>
        <w:rPr>
          <w:rFonts w:ascii="Garamond" w:hAnsi="Garamond" w:cs="Garamond"/>
          <w:sz w:val="24"/>
        </w:rPr>
      </w:pPr>
      <w:r>
        <w:rPr>
          <w:rFonts w:cs="Garamond" w:ascii="Garamond" w:hAnsi="Garamond"/>
          <w:sz w:val="24"/>
        </w:rPr>
        <w:t>New EU Competition Framework for Telecoms Voice and Data</w:t>
      </w:r>
    </w:p>
    <w:p>
      <w:pPr>
        <w:pStyle w:val="Normal"/>
        <w:numPr>
          <w:ilvl w:val="0"/>
          <w:numId w:val="18"/>
        </w:numPr>
        <w:jc w:val="both"/>
        <w:rPr>
          <w:rFonts w:ascii="Garamond" w:hAnsi="Garamond" w:cs="Garamond"/>
          <w:sz w:val="24"/>
        </w:rPr>
      </w:pPr>
      <w:r>
        <w:rPr>
          <w:rFonts w:cs="Garamond" w:ascii="Garamond" w:hAnsi="Garamond"/>
          <w:sz w:val="24"/>
        </w:rPr>
        <w:t>Financial Services and Financial Transactions Legislation Harmonisation</w:t>
      </w:r>
    </w:p>
    <w:p>
      <w:pPr>
        <w:pStyle w:val="Normal"/>
        <w:numPr>
          <w:ilvl w:val="0"/>
          <w:numId w:val="18"/>
        </w:numPr>
        <w:jc w:val="both"/>
        <w:rPr>
          <w:rFonts w:ascii="Garamond" w:hAnsi="Garamond" w:cs="Garamond"/>
          <w:sz w:val="24"/>
        </w:rPr>
      </w:pPr>
      <w:r>
        <w:rPr>
          <w:rFonts w:cs="Garamond" w:ascii="Garamond" w:hAnsi="Garamond"/>
          <w:sz w:val="24"/>
        </w:rPr>
        <w:t>E-Commerce Rules</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upperLetter"/>
      <w:lvlText w:val="%1."/>
      <w:lvlJc w:val="start"/>
      <w:pPr>
        <w:tabs>
          <w:tab w:val="num" w:pos="360"/>
        </w:tabs>
        <w:ind w:start="360"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1080"/>
        </w:tabs>
        <w:ind w:start="108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1080"/>
        </w:tabs>
        <w:ind w:start="1080" w:hanging="36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outlineLvl w:val="0"/>
    </w:pPr>
    <w:rPr>
      <w:sz w:val="56"/>
      <w:u w:val="single"/>
    </w:rPr>
  </w:style>
  <w:style w:type="paragraph" w:styleId="Heading2">
    <w:name w:val="heading 2"/>
    <w:basedOn w:val="Normal"/>
    <w:next w:val="Normal"/>
    <w:qFormat/>
    <w:pPr>
      <w:keepNext w:val="true"/>
      <w:numPr>
        <w:ilvl w:val="1"/>
        <w:numId w:val="1"/>
      </w:numPr>
      <w:outlineLvl w:val="1"/>
    </w:pPr>
    <w:rPr>
      <w:sz w:val="52"/>
      <w:u w:val="single"/>
    </w:rPr>
  </w:style>
  <w:style w:type="paragraph" w:styleId="Heading3">
    <w:name w:val="heading 3"/>
    <w:basedOn w:val="Normal"/>
    <w:next w:val="Normal"/>
    <w:qFormat/>
    <w:pPr>
      <w:keepNext w:val="true"/>
      <w:numPr>
        <w:ilvl w:val="2"/>
        <w:numId w:val="1"/>
      </w:numPr>
      <w:outlineLvl w:val="2"/>
    </w:pPr>
    <w:rPr>
      <w:sz w:val="40"/>
      <w:u w:val="single"/>
    </w:rPr>
  </w:style>
  <w:style w:type="paragraph" w:styleId="Heading4">
    <w:name w:val="heading 4"/>
    <w:basedOn w:val="Normal"/>
    <w:next w:val="Normal"/>
    <w:qFormat/>
    <w:pPr>
      <w:keepNext w:val="true"/>
      <w:numPr>
        <w:ilvl w:val="0"/>
        <w:numId w:val="4"/>
      </w:numPr>
      <w:outlineLvl w:val="3"/>
    </w:pPr>
    <w:rPr>
      <w:sz w:val="32"/>
    </w:rPr>
  </w:style>
  <w:style w:type="paragraph" w:styleId="Heading5">
    <w:name w:val="heading 5"/>
    <w:basedOn w:val="Normal"/>
    <w:next w:val="Normal"/>
    <w:qFormat/>
    <w:pPr>
      <w:keepNext w:val="true"/>
      <w:numPr>
        <w:ilvl w:val="4"/>
        <w:numId w:val="1"/>
      </w:numPr>
      <w:jc w:val="center"/>
      <w:outlineLvl w:val="4"/>
    </w:pPr>
    <w:rPr>
      <w:sz w:val="32"/>
      <w:u w:val="single"/>
    </w:rPr>
  </w:style>
  <w:style w:type="character" w:styleId="WW8Num1z0">
    <w:name w:val="WW8Num1z0"/>
    <w:qFormat/>
    <w:rPr>
      <w:rFonts w:ascii="Symbol" w:hAnsi="Symbol" w:cs="Symbol"/>
    </w:rPr>
  </w:style>
  <w:style w:type="character" w:styleId="WW8Num2z0">
    <w:name w:val="WW8Num2z0"/>
    <w:qFormat/>
    <w:rPr>
      <w:b w:val="false"/>
      <w:sz w:val="28"/>
    </w:rPr>
  </w:style>
  <w:style w:type="character" w:styleId="WW8Num3z0">
    <w:name w:val="WW8Num3z0"/>
    <w:qFormat/>
    <w:rPr>
      <w:b/>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b/>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9z1">
    <w:name w:val="WW8Num9z1"/>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b/>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3z1">
    <w:name w:val="WW8Num23z1"/>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b/>
    </w:rPr>
  </w:style>
  <w:style w:type="character" w:styleId="WW8Num26z0">
    <w:name w:val="WW8Num26z0"/>
    <w:qFormat/>
    <w:rPr>
      <w:rFonts w:ascii="Symbol" w:hAnsi="Symbol" w:cs="Symbol"/>
    </w:rPr>
  </w:style>
  <w:style w:type="character" w:styleId="WW8Num28z0">
    <w:name w:val="WW8Num28z0"/>
    <w:qFormat/>
    <w:rPr/>
  </w:style>
  <w:style w:type="character" w:styleId="WW8Num28z1">
    <w:name w:val="WW8Num28z1"/>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29z1">
    <w:name w:val="WW8Num29z1"/>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z w:val="72"/>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BodyTextIndent">
    <w:name w:val="Body Text Indent"/>
    <w:basedOn w:val="Normal"/>
    <w:pPr>
      <w:ind w:hanging="0" w:start="720" w:end="0"/>
    </w:pPr>
    <w:rPr>
      <w:sz w:val="24"/>
    </w:rPr>
  </w:style>
  <w:style w:type="paragraph" w:styleId="BodyText3">
    <w:name w:val="Body Text 3"/>
    <w:basedOn w:val="Normal"/>
    <w:qFormat/>
    <w:pPr>
      <w:jc w:val="center"/>
    </w:pPr>
    <w:rPr>
      <w:sz w:val="48"/>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2001-09-25T08:05:00Z</dcterms:created>
  <dc:creator>Pamela</dc:creator>
  <dc:description/>
  <dc:language>en-CA</dc:language>
  <cp:lastModifiedBy>Enron Europe (UK)</cp:lastModifiedBy>
  <cp:lastPrinted>2001-09-26T10:09:00Z</cp:lastPrinted>
  <dcterms:modified xsi:type="dcterms:W3CDTF">2001-09-26T08:48:00Z</dcterms:modified>
  <cp:revision>9</cp:revision>
  <dc:subject/>
  <dc:title>CONTINENTAL POWER &amp; GAS EXTERNAL AGENDAS</dc:title>
</cp:coreProperties>
</file>