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80" w:type="dxa"/>
        <w:jc w:val="start"/>
        <w:tblInd w:w="-1242" w:type="dxa"/>
        <w:tblLayout w:type="fixed"/>
        <w:tblCellMar>
          <w:top w:w="0" w:type="dxa"/>
          <w:start w:w="108" w:type="dxa"/>
          <w:bottom w:w="0" w:type="dxa"/>
          <w:end w:w="108" w:type="dxa"/>
        </w:tblCellMar>
      </w:tblPr>
      <w:tblGrid>
        <w:gridCol w:w="1815"/>
        <w:gridCol w:w="9165"/>
      </w:tblGrid>
      <w:tr>
        <w:trPr/>
        <w:tc>
          <w:tcPr>
            <w:tcW w:w="1815" w:type="dxa"/>
            <w:tcBorders>
              <w:end w:val="single" w:sz="12" w:space="0" w:color="000000"/>
            </w:tcBorders>
          </w:tcPr>
          <w:p>
            <w:pPr>
              <w:pStyle w:val="Normal"/>
              <w:snapToGrid w:val="false"/>
              <w:rPr>
                <w:rFonts w:ascii="Arial" w:hAnsi="Arial" w:cs="Arial"/>
                <w:sz w:val="24"/>
              </w:rPr>
            </w:pPr>
            <w:r>
              <w:rPr>
                <w:rFonts w:cs="Arial" w:ascii="Arial" w:hAnsi="Arial"/>
                <w:sz w:val="24"/>
              </w:rPr>
            </w:r>
          </w:p>
        </w:tc>
        <w:tc>
          <w:tcPr>
            <w:tcW w:w="9165" w:type="dxa"/>
            <w:tcBorders>
              <w:start w:val="single" w:sz="12" w:space="0" w:color="000000"/>
            </w:tcBorders>
          </w:tcPr>
          <w:p>
            <w:pPr>
              <w:pStyle w:val="Normal"/>
              <w:rPr>
                <w:rFonts w:ascii="Arial" w:hAnsi="Arial" w:cs="Arial"/>
                <w:b/>
                <w:sz w:val="24"/>
              </w:rPr>
            </w:pPr>
            <w:r>
              <w:rPr>
                <w:rFonts w:cs="Arial" w:ascii="Arial" w:hAnsi="Arial"/>
                <w:b/>
                <w:sz w:val="24"/>
              </w:rPr>
              <w:t>MARK C. SCHROEDER</w:t>
            </w:r>
          </w:p>
          <w:p>
            <w:pPr>
              <w:pStyle w:val="Normal"/>
              <w:rPr>
                <w:rFonts w:ascii="Arial" w:hAnsi="Arial" w:cs="Arial"/>
                <w:b/>
                <w:sz w:val="24"/>
              </w:rPr>
            </w:pPr>
            <w:r>
              <w:rPr>
                <w:rFonts w:cs="Arial" w:ascii="Arial" w:hAnsi="Arial"/>
                <w:b/>
                <w:sz w:val="24"/>
              </w:rPr>
            </w:r>
          </w:p>
        </w:tc>
      </w:tr>
      <w:tr>
        <w:trPr/>
        <w:tc>
          <w:tcPr>
            <w:tcW w:w="1815" w:type="dxa"/>
            <w:tcBorders>
              <w:end w:val="single" w:sz="12" w:space="0" w:color="000000"/>
            </w:tcBorders>
          </w:tcPr>
          <w:p>
            <w:pPr>
              <w:pStyle w:val="Normal"/>
              <w:snapToGrid w:val="false"/>
              <w:rPr>
                <w:rFonts w:ascii="Arial" w:hAnsi="Arial" w:cs="Arial"/>
                <w:sz w:val="24"/>
              </w:rPr>
            </w:pPr>
            <w:r>
              <w:rPr>
                <w:rFonts w:cs="Arial" w:ascii="Arial" w:hAnsi="Arial"/>
                <w:sz w:val="24"/>
              </w:rPr>
            </w:r>
          </w:p>
        </w:tc>
        <w:tc>
          <w:tcPr>
            <w:tcW w:w="9165" w:type="dxa"/>
            <w:tcBorders>
              <w:start w:val="single" w:sz="12" w:space="0" w:color="000000"/>
            </w:tcBorders>
          </w:tcPr>
          <w:p>
            <w:pPr>
              <w:pStyle w:val="Normal"/>
              <w:rPr>
                <w:rFonts w:ascii="Arial" w:hAnsi="Arial" w:cs="Arial"/>
              </w:rPr>
            </w:pPr>
            <w:r>
              <w:rPr>
                <w:rFonts w:cs="Arial" w:ascii="Arial" w:hAnsi="Arial"/>
                <w:u w:val="single"/>
              </w:rPr>
              <w:t>Home:</w:t>
            </w:r>
            <w:r>
              <w:rPr>
                <w:rFonts w:cs="Arial" w:ascii="Arial" w:hAnsi="Arial"/>
              </w:rPr>
              <w:t xml:space="preserve">                                              </w:t>
            </w:r>
            <w:r>
              <w:rPr>
                <w:rFonts w:cs="Arial" w:ascii="Arial" w:hAnsi="Arial"/>
                <w:u w:val="single"/>
              </w:rPr>
              <w:t>Office:</w:t>
            </w:r>
          </w:p>
          <w:p>
            <w:pPr>
              <w:pStyle w:val="Normal"/>
              <w:rPr>
                <w:rFonts w:ascii="Arial" w:hAnsi="Arial" w:cs="Arial"/>
              </w:rPr>
            </w:pPr>
            <w:r>
              <w:rPr>
                <w:rFonts w:cs="Arial" w:ascii="Arial" w:hAnsi="Arial"/>
              </w:rPr>
              <w:t>27 Chepstow Place                         40 Grosvenor Place</w:t>
            </w:r>
          </w:p>
          <w:p>
            <w:pPr>
              <w:pStyle w:val="Normal"/>
              <w:rPr>
                <w:rFonts w:ascii="Arial" w:hAnsi="Arial" w:cs="Arial"/>
              </w:rPr>
            </w:pPr>
            <w:r>
              <w:rPr>
                <w:rFonts w:cs="Arial" w:ascii="Arial" w:hAnsi="Arial"/>
              </w:rPr>
              <w:t>London W2 4TT                              London SW1X 7EN</w:t>
            </w:r>
          </w:p>
          <w:p>
            <w:pPr>
              <w:pStyle w:val="Normal"/>
              <w:rPr>
                <w:rFonts w:ascii="Arial" w:hAnsi="Arial" w:cs="Arial"/>
              </w:rPr>
            </w:pPr>
            <w:r>
              <w:rPr>
                <w:rFonts w:cs="Arial" w:ascii="Arial" w:hAnsi="Arial"/>
              </w:rPr>
              <w:t>ENGLAND                                       ENGLAND</w:t>
            </w:r>
          </w:p>
          <w:p>
            <w:pPr>
              <w:pStyle w:val="Normal"/>
              <w:rPr>
                <w:rFonts w:ascii="Arial" w:hAnsi="Arial" w:cs="Arial"/>
              </w:rPr>
            </w:pPr>
            <w:r>
              <w:rPr>
                <w:rFonts w:cs="Arial" w:ascii="Arial" w:hAnsi="Arial"/>
              </w:rPr>
              <w:t>(020) 7229 2396                              (020) 7783 6664</w:t>
            </w:r>
          </w:p>
          <w:p>
            <w:pPr>
              <w:pStyle w:val="Normal"/>
              <w:rPr>
                <w:rFonts w:ascii="Arial" w:hAnsi="Arial" w:cs="Arial"/>
              </w:rPr>
            </w:pPr>
            <w:r>
              <w:rPr>
                <w:rFonts w:cs="Arial" w:ascii="Arial" w:hAnsi="Arial"/>
              </w:rPr>
            </w:r>
          </w:p>
        </w:tc>
      </w:tr>
      <w:tr>
        <w:trPr/>
        <w:tc>
          <w:tcPr>
            <w:tcW w:w="1815" w:type="dxa"/>
            <w:tcBorders>
              <w:end w:val="single" w:sz="12" w:space="0" w:color="000000"/>
            </w:tcBorders>
          </w:tcPr>
          <w:p>
            <w:pPr>
              <w:pStyle w:val="Normal"/>
              <w:snapToGrid w:val="false"/>
              <w:rPr>
                <w:rFonts w:ascii="Arial" w:hAnsi="Arial" w:cs="Arial"/>
                <w:sz w:val="24"/>
              </w:rPr>
            </w:pPr>
            <w:r>
              <w:rPr>
                <w:rFonts w:cs="Arial" w:ascii="Arial" w:hAnsi="Arial"/>
                <w:sz w:val="24"/>
              </w:rPr>
            </w:r>
          </w:p>
        </w:tc>
        <w:tc>
          <w:tcPr>
            <w:tcW w:w="9165" w:type="dxa"/>
            <w:tcBorders>
              <w:start w:val="single" w:sz="12" w:space="0" w:color="000000"/>
            </w:tcBorders>
          </w:tcPr>
          <w:p>
            <w:pPr>
              <w:pStyle w:val="Normal"/>
              <w:rPr>
                <w:rFonts w:ascii="Arial" w:hAnsi="Arial" w:cs="Arial"/>
                <w:b/>
                <w:sz w:val="24"/>
              </w:rPr>
            </w:pPr>
            <w:r>
              <w:rPr>
                <w:rFonts w:cs="Arial" w:ascii="Arial" w:hAnsi="Arial"/>
                <w:b/>
                <w:sz w:val="24"/>
              </w:rPr>
              <w:t>Professional Experience</w:t>
            </w:r>
          </w:p>
          <w:p>
            <w:pPr>
              <w:pStyle w:val="Normal"/>
              <w:rPr>
                <w:rFonts w:ascii="Arial" w:hAnsi="Arial" w:cs="Arial"/>
                <w:b/>
                <w:sz w:val="24"/>
              </w:rPr>
            </w:pPr>
            <w:r>
              <w:rPr>
                <w:rFonts w:cs="Arial" w:ascii="Arial" w:hAnsi="Arial"/>
                <w:b/>
                <w:sz w:val="24"/>
              </w:rPr>
            </w:r>
          </w:p>
        </w:tc>
      </w:tr>
      <w:tr>
        <w:trPr/>
        <w:tc>
          <w:tcPr>
            <w:tcW w:w="1815" w:type="dxa"/>
            <w:tcBorders>
              <w:end w:val="single" w:sz="12" w:space="0" w:color="000000"/>
            </w:tcBorders>
          </w:tcPr>
          <w:p>
            <w:pPr>
              <w:pStyle w:val="Normal"/>
              <w:rPr>
                <w:rFonts w:ascii="Arial" w:hAnsi="Arial" w:cs="Arial"/>
              </w:rPr>
            </w:pPr>
            <w:r>
              <w:rPr>
                <w:rFonts w:cs="Arial" w:ascii="Arial" w:hAnsi="Arial"/>
              </w:rPr>
              <w:t xml:space="preserve">June 1996 to </w:t>
            </w:r>
          </w:p>
          <w:p>
            <w:pPr>
              <w:pStyle w:val="Normal"/>
              <w:rPr>
                <w:rFonts w:ascii="Arial" w:hAnsi="Arial" w:cs="Arial"/>
              </w:rPr>
            </w:pPr>
            <w:r>
              <w:rPr>
                <w:rFonts w:cs="Arial" w:ascii="Arial" w:hAnsi="Arial"/>
              </w:rPr>
              <w:t>Present</w:t>
            </w:r>
          </w:p>
        </w:tc>
        <w:tc>
          <w:tcPr>
            <w:tcW w:w="9165" w:type="dxa"/>
            <w:tcBorders>
              <w:start w:val="single" w:sz="12" w:space="0" w:color="000000"/>
            </w:tcBorders>
          </w:tcPr>
          <w:p>
            <w:pPr>
              <w:pStyle w:val="Normal"/>
              <w:rPr>
                <w:rFonts w:ascii="Arial" w:hAnsi="Arial" w:cs="Arial"/>
                <w:b/>
              </w:rPr>
            </w:pPr>
            <w:r>
              <w:rPr>
                <w:rFonts w:cs="Arial" w:ascii="Arial" w:hAnsi="Arial"/>
                <w:b/>
              </w:rPr>
              <w:t>Enron Europe Limited, London, England - Vice President for Government and Regulatory Affairs</w:t>
            </w:r>
          </w:p>
          <w:p>
            <w:pPr>
              <w:pStyle w:val="Normal"/>
              <w:rPr>
                <w:rFonts w:ascii="Arial" w:hAnsi="Arial" w:cs="Arial"/>
                <w:b/>
              </w:rPr>
            </w:pPr>
            <w:r>
              <w:rPr>
                <w:rFonts w:cs="Arial" w:ascii="Arial" w:hAnsi="Arial"/>
                <w:b/>
              </w:rPr>
            </w:r>
          </w:p>
        </w:tc>
      </w:tr>
      <w:tr>
        <w:trPr/>
        <w:tc>
          <w:tcPr>
            <w:tcW w:w="1815" w:type="dxa"/>
            <w:tcBorders>
              <w:end w:val="single" w:sz="12" w:space="0" w:color="000000"/>
            </w:tcBorders>
          </w:tcPr>
          <w:p>
            <w:pPr>
              <w:pStyle w:val="Normal"/>
              <w:snapToGrid w:val="false"/>
              <w:rPr>
                <w:rFonts w:ascii="Arial" w:hAnsi="Arial" w:cs="Arial"/>
                <w:b/>
              </w:rPr>
            </w:pPr>
            <w:r>
              <w:rPr>
                <w:rFonts w:cs="Arial" w:ascii="Arial" w:hAnsi="Arial"/>
                <w:b/>
              </w:rPr>
            </w:r>
          </w:p>
        </w:tc>
        <w:tc>
          <w:tcPr>
            <w:tcW w:w="9165" w:type="dxa"/>
            <w:tcBorders>
              <w:start w:val="single" w:sz="12" w:space="0" w:color="000000"/>
            </w:tcBorders>
          </w:tcPr>
          <w:p>
            <w:pPr>
              <w:pStyle w:val="Normal"/>
              <w:rPr>
                <w:rFonts w:ascii="Arial" w:hAnsi="Arial" w:cs="Arial"/>
                <w:b/>
              </w:rPr>
            </w:pPr>
            <w:r>
              <w:rPr>
                <w:rFonts w:cs="Arial" w:ascii="Arial" w:hAnsi="Arial"/>
              </w:rPr>
              <w:t xml:space="preserve">Responsible for direction of Enron Europe’s government relations including public policy advocacy; focus on the liberalisation of energy markets in the 15 member European Union and surrounding States.  As of March, 2000, also manage this function for Enron Corp.  for all of the Eastern Hemisphere.  Appear before Minister-level and Ambassadorial-rank representatives, as well as liaise with senior civil servants. Frequent public speaker on regulatory reform in Europe.  Appeared before multiple Committees of the House of Commons (UK), the Energy Committee of the Assemblée Nationale (France), and before the European Commission. </w:t>
            </w:r>
          </w:p>
        </w:tc>
      </w:tr>
      <w:tr>
        <w:trPr/>
        <w:tc>
          <w:tcPr>
            <w:tcW w:w="1815" w:type="dxa"/>
            <w:tcBorders>
              <w:end w:val="single" w:sz="12" w:space="0" w:color="000000"/>
            </w:tcBorders>
          </w:tcPr>
          <w:p>
            <w:pPr>
              <w:pStyle w:val="Normal"/>
              <w:snapToGrid w:val="false"/>
              <w:rPr>
                <w:rFonts w:ascii="Arial" w:hAnsi="Arial" w:cs="Arial"/>
                <w:b/>
              </w:rPr>
            </w:pPr>
            <w:r>
              <w:rPr>
                <w:rFonts w:cs="Arial" w:ascii="Arial" w:hAnsi="Arial"/>
                <w:b/>
              </w:rPr>
            </w:r>
          </w:p>
        </w:tc>
        <w:tc>
          <w:tcPr>
            <w:tcW w:w="9165" w:type="dxa"/>
            <w:tcBorders>
              <w:start w:val="single" w:sz="12" w:space="0" w:color="000000"/>
            </w:tcBorders>
          </w:tcPr>
          <w:p>
            <w:pPr>
              <w:pStyle w:val="Normal"/>
              <w:snapToGrid w:val="false"/>
              <w:rPr>
                <w:rFonts w:ascii="Arial" w:hAnsi="Arial" w:cs="Arial"/>
                <w:u w:val="single"/>
              </w:rPr>
            </w:pPr>
            <w:r>
              <w:rPr>
                <w:rFonts w:cs="Arial" w:ascii="Arial" w:hAnsi="Arial"/>
                <w:u w:val="single"/>
              </w:rPr>
            </w:r>
          </w:p>
        </w:tc>
      </w:tr>
      <w:tr>
        <w:trPr/>
        <w:tc>
          <w:tcPr>
            <w:tcW w:w="1815" w:type="dxa"/>
            <w:tcBorders>
              <w:end w:val="single" w:sz="12" w:space="0" w:color="000000"/>
            </w:tcBorders>
          </w:tcPr>
          <w:p>
            <w:pPr>
              <w:pStyle w:val="Normal"/>
              <w:rPr>
                <w:rFonts w:ascii="Arial" w:hAnsi="Arial" w:cs="Arial"/>
              </w:rPr>
            </w:pPr>
            <w:r>
              <w:rPr>
                <w:rFonts w:cs="Arial" w:ascii="Arial" w:hAnsi="Arial"/>
              </w:rPr>
              <w:t>April 1994 to June 1996</w:t>
            </w:r>
          </w:p>
        </w:tc>
        <w:tc>
          <w:tcPr>
            <w:tcW w:w="9165" w:type="dxa"/>
            <w:tcBorders>
              <w:start w:val="single" w:sz="12" w:space="0" w:color="000000"/>
            </w:tcBorders>
          </w:tcPr>
          <w:p>
            <w:pPr>
              <w:pStyle w:val="Normal"/>
              <w:rPr/>
            </w:pPr>
            <w:r>
              <w:rPr>
                <w:rFonts w:cs="Arial" w:ascii="Arial" w:hAnsi="Arial"/>
                <w:b/>
              </w:rPr>
              <w:t>Northern Natural Gas Company, Subsidiary of Enron Corp. Omaha, Nebraska -</w:t>
            </w:r>
            <w:r>
              <w:rPr>
                <w:rFonts w:cs="Arial" w:ascii="Arial" w:hAnsi="Arial"/>
              </w:rPr>
              <w:t xml:space="preserve"> </w:t>
            </w:r>
            <w:r>
              <w:rPr>
                <w:rFonts w:cs="Arial" w:ascii="Arial" w:hAnsi="Arial"/>
                <w:b/>
              </w:rPr>
              <w:t>Vice President and General Counsel</w:t>
            </w:r>
          </w:p>
          <w:p>
            <w:pPr>
              <w:pStyle w:val="Normal"/>
              <w:rPr>
                <w:rFonts w:ascii="Arial" w:hAnsi="Arial" w:cs="Arial"/>
                <w:b/>
                <w:u w:val="single"/>
              </w:rPr>
            </w:pPr>
            <w:r>
              <w:rPr>
                <w:rFonts w:cs="Arial" w:ascii="Arial" w:hAnsi="Arial"/>
                <w:b/>
                <w:u w:val="single"/>
              </w:rPr>
            </w:r>
          </w:p>
        </w:tc>
      </w:tr>
      <w:tr>
        <w:trPr/>
        <w:tc>
          <w:tcPr>
            <w:tcW w:w="1815" w:type="dxa"/>
            <w:tcBorders>
              <w:end w:val="single" w:sz="12" w:space="0" w:color="000000"/>
            </w:tcBorders>
          </w:tcPr>
          <w:p>
            <w:pPr>
              <w:pStyle w:val="Normal"/>
              <w:snapToGrid w:val="false"/>
              <w:rPr>
                <w:rFonts w:ascii="Arial" w:hAnsi="Arial" w:cs="Arial"/>
                <w:u w:val="single"/>
              </w:rPr>
            </w:pPr>
            <w:r>
              <w:rPr>
                <w:rFonts w:cs="Arial" w:ascii="Arial" w:hAnsi="Arial"/>
                <w:u w:val="single"/>
              </w:rPr>
            </w:r>
          </w:p>
        </w:tc>
        <w:tc>
          <w:tcPr>
            <w:tcW w:w="9165" w:type="dxa"/>
            <w:tcBorders>
              <w:start w:val="single" w:sz="12" w:space="0" w:color="000000"/>
            </w:tcBorders>
          </w:tcPr>
          <w:p>
            <w:pPr>
              <w:pStyle w:val="Normal"/>
              <w:rPr>
                <w:rFonts w:ascii="Arial" w:hAnsi="Arial" w:cs="Arial"/>
                <w:u w:val="single"/>
              </w:rPr>
            </w:pPr>
            <w:r>
              <w:rPr>
                <w:rFonts w:cs="Arial" w:ascii="Arial" w:hAnsi="Arial"/>
              </w:rPr>
              <w:t>Responsibility for all of the company’s legal matters, including regulatory, litigation, contracts, strategic business planning, and review and sale of non-strategic assets. Chairman of the Interstate Natural Gas Association of America, Legal Committee, 1995.</w:t>
            </w:r>
          </w:p>
        </w:tc>
      </w:tr>
      <w:tr>
        <w:trPr/>
        <w:tc>
          <w:tcPr>
            <w:tcW w:w="1815" w:type="dxa"/>
            <w:tcBorders>
              <w:end w:val="single" w:sz="12" w:space="0" w:color="000000"/>
            </w:tcBorders>
          </w:tcPr>
          <w:p>
            <w:pPr>
              <w:pStyle w:val="Normal"/>
              <w:snapToGrid w:val="false"/>
              <w:rPr>
                <w:rFonts w:ascii="Arial" w:hAnsi="Arial" w:cs="Arial"/>
                <w:u w:val="single"/>
              </w:rPr>
            </w:pPr>
            <w:r>
              <w:rPr>
                <w:rFonts w:cs="Arial" w:ascii="Arial" w:hAnsi="Arial"/>
                <w:u w:val="single"/>
              </w:rPr>
            </w:r>
          </w:p>
        </w:tc>
        <w:tc>
          <w:tcPr>
            <w:tcW w:w="9165" w:type="dxa"/>
            <w:tcBorders>
              <w:start w:val="single" w:sz="12" w:space="0" w:color="000000"/>
            </w:tcBorders>
          </w:tcPr>
          <w:p>
            <w:pPr>
              <w:pStyle w:val="Normal"/>
              <w:snapToGrid w:val="false"/>
              <w:rPr>
                <w:rFonts w:ascii="Arial" w:hAnsi="Arial" w:cs="Arial"/>
                <w:u w:val="single"/>
              </w:rPr>
            </w:pPr>
            <w:r>
              <w:rPr>
                <w:rFonts w:cs="Arial" w:ascii="Arial" w:hAnsi="Arial"/>
                <w:u w:val="single"/>
              </w:rPr>
            </w:r>
          </w:p>
        </w:tc>
      </w:tr>
      <w:tr>
        <w:trPr/>
        <w:tc>
          <w:tcPr>
            <w:tcW w:w="1815" w:type="dxa"/>
            <w:tcBorders>
              <w:end w:val="single" w:sz="12" w:space="0" w:color="000000"/>
            </w:tcBorders>
          </w:tcPr>
          <w:p>
            <w:pPr>
              <w:pStyle w:val="Normal"/>
              <w:rPr>
                <w:rFonts w:ascii="Arial" w:hAnsi="Arial" w:cs="Arial"/>
              </w:rPr>
            </w:pPr>
            <w:r>
              <w:rPr>
                <w:rFonts w:cs="Arial" w:ascii="Arial" w:hAnsi="Arial"/>
              </w:rPr>
              <w:t>February 1993 to</w:t>
            </w:r>
          </w:p>
          <w:p>
            <w:pPr>
              <w:pStyle w:val="Normal"/>
              <w:rPr>
                <w:rFonts w:ascii="Arial" w:hAnsi="Arial" w:cs="Arial"/>
              </w:rPr>
            </w:pPr>
            <w:r>
              <w:rPr>
                <w:rFonts w:cs="Arial" w:ascii="Arial" w:hAnsi="Arial"/>
              </w:rPr>
              <w:t>April 1994</w:t>
            </w:r>
          </w:p>
        </w:tc>
        <w:tc>
          <w:tcPr>
            <w:tcW w:w="9165" w:type="dxa"/>
            <w:tcBorders>
              <w:start w:val="single" w:sz="12" w:space="0" w:color="000000"/>
            </w:tcBorders>
          </w:tcPr>
          <w:p>
            <w:pPr>
              <w:pStyle w:val="Normal"/>
              <w:rPr/>
            </w:pPr>
            <w:r>
              <w:rPr>
                <w:rFonts w:cs="Arial" w:ascii="Arial" w:hAnsi="Arial"/>
                <w:b/>
              </w:rPr>
              <w:t>Akin, Gump, Strauss, Hauer &amp; Feld, Attorneys at Law, Washington, D. C. -</w:t>
            </w:r>
            <w:r>
              <w:rPr>
                <w:rFonts w:cs="Arial" w:ascii="Arial" w:hAnsi="Arial"/>
              </w:rPr>
              <w:t xml:space="preserve"> </w:t>
            </w:r>
            <w:r>
              <w:rPr>
                <w:rFonts w:cs="Arial" w:ascii="Arial" w:hAnsi="Arial"/>
                <w:b/>
              </w:rPr>
              <w:t>Partner</w:t>
            </w:r>
          </w:p>
          <w:p>
            <w:pPr>
              <w:pStyle w:val="Normal"/>
              <w:rPr>
                <w:rFonts w:ascii="Arial" w:hAnsi="Arial" w:cs="Arial"/>
                <w:b/>
                <w:u w:val="single"/>
              </w:rPr>
            </w:pPr>
            <w:r>
              <w:rPr>
                <w:rFonts w:cs="Arial" w:ascii="Arial" w:hAnsi="Arial"/>
                <w:b/>
                <w:u w:val="single"/>
              </w:rPr>
            </w:r>
          </w:p>
        </w:tc>
      </w:tr>
      <w:tr>
        <w:trPr/>
        <w:tc>
          <w:tcPr>
            <w:tcW w:w="1815" w:type="dxa"/>
            <w:tcBorders>
              <w:end w:val="single" w:sz="12" w:space="0" w:color="000000"/>
            </w:tcBorders>
          </w:tcPr>
          <w:p>
            <w:pPr>
              <w:pStyle w:val="Normal"/>
              <w:snapToGrid w:val="false"/>
              <w:rPr>
                <w:rFonts w:ascii="Arial" w:hAnsi="Arial" w:cs="Arial"/>
                <w:u w:val="single"/>
              </w:rPr>
            </w:pPr>
            <w:r>
              <w:rPr>
                <w:rFonts w:cs="Arial" w:ascii="Arial" w:hAnsi="Arial"/>
                <w:u w:val="single"/>
              </w:rPr>
            </w:r>
          </w:p>
        </w:tc>
        <w:tc>
          <w:tcPr>
            <w:tcW w:w="9165" w:type="dxa"/>
            <w:tcBorders>
              <w:start w:val="single" w:sz="12" w:space="0" w:color="000000"/>
            </w:tcBorders>
          </w:tcPr>
          <w:p>
            <w:pPr>
              <w:pStyle w:val="Normal"/>
              <w:rPr>
                <w:rFonts w:ascii="Arial" w:hAnsi="Arial" w:cs="Arial"/>
                <w:b/>
              </w:rPr>
            </w:pPr>
            <w:r>
              <w:rPr>
                <w:rFonts w:cs="Arial" w:ascii="Arial" w:hAnsi="Arial"/>
              </w:rPr>
              <w:t>Practice in the fields of energy and environmental regulation. Advised clients on business planning in the restructuring of the natural gas and electric utility industries. In electric utility regulation, particular involvement in transmission service, access, and pricing issues associated with a proposed utility merger. Also provided counsel on environmental compliance (particularly business planning for firms in the energy industry under the Clean Air Act Amendments of 1990), environmental liabilities and risks in government contracting, and federal funding of energy production and alternative fuel technologies.</w:t>
            </w:r>
          </w:p>
        </w:tc>
      </w:tr>
      <w:tr>
        <w:trPr/>
        <w:tc>
          <w:tcPr>
            <w:tcW w:w="1815" w:type="dxa"/>
            <w:tcBorders>
              <w:end w:val="single" w:sz="12" w:space="0" w:color="000000"/>
            </w:tcBorders>
          </w:tcPr>
          <w:p>
            <w:pPr>
              <w:pStyle w:val="Normal"/>
              <w:snapToGrid w:val="false"/>
              <w:rPr>
                <w:rFonts w:ascii="Arial" w:hAnsi="Arial" w:cs="Arial"/>
                <w:b/>
              </w:rPr>
            </w:pPr>
            <w:r>
              <w:rPr>
                <w:rFonts w:cs="Arial" w:ascii="Arial" w:hAnsi="Arial"/>
                <w:b/>
              </w:rPr>
            </w:r>
          </w:p>
        </w:tc>
        <w:tc>
          <w:tcPr>
            <w:tcW w:w="9165" w:type="dxa"/>
            <w:tcBorders>
              <w:start w:val="single" w:sz="12" w:space="0" w:color="000000"/>
            </w:tcBorders>
          </w:tcPr>
          <w:p>
            <w:pPr>
              <w:pStyle w:val="Normal"/>
              <w:snapToGrid w:val="false"/>
              <w:rPr>
                <w:rFonts w:ascii="Arial" w:hAnsi="Arial" w:cs="Arial"/>
                <w:u w:val="single"/>
              </w:rPr>
            </w:pPr>
            <w:r>
              <w:rPr>
                <w:rFonts w:cs="Arial" w:ascii="Arial" w:hAnsi="Arial"/>
                <w:u w:val="single"/>
              </w:rPr>
            </w:r>
          </w:p>
        </w:tc>
      </w:tr>
      <w:tr>
        <w:trPr/>
        <w:tc>
          <w:tcPr>
            <w:tcW w:w="1815" w:type="dxa"/>
            <w:tcBorders>
              <w:end w:val="single" w:sz="12" w:space="0" w:color="000000"/>
            </w:tcBorders>
          </w:tcPr>
          <w:p>
            <w:pPr>
              <w:pStyle w:val="Normal"/>
              <w:rPr>
                <w:rFonts w:ascii="Arial" w:hAnsi="Arial" w:cs="Arial"/>
              </w:rPr>
            </w:pPr>
            <w:r>
              <w:rPr>
                <w:rFonts w:cs="Arial" w:ascii="Arial" w:hAnsi="Arial"/>
              </w:rPr>
              <w:t>August 1989 to</w:t>
            </w:r>
          </w:p>
          <w:p>
            <w:pPr>
              <w:pStyle w:val="Normal"/>
              <w:rPr>
                <w:rFonts w:ascii="Arial" w:hAnsi="Arial" w:cs="Arial"/>
              </w:rPr>
            </w:pPr>
            <w:r>
              <w:rPr>
                <w:rFonts w:cs="Arial" w:ascii="Arial" w:hAnsi="Arial"/>
              </w:rPr>
              <w:t>January 1993</w:t>
            </w:r>
          </w:p>
        </w:tc>
        <w:tc>
          <w:tcPr>
            <w:tcW w:w="9165" w:type="dxa"/>
            <w:tcBorders>
              <w:start w:val="single" w:sz="12" w:space="0" w:color="000000"/>
            </w:tcBorders>
          </w:tcPr>
          <w:p>
            <w:pPr>
              <w:pStyle w:val="Normal"/>
              <w:rPr>
                <w:rFonts w:ascii="Arial" w:hAnsi="Arial" w:cs="Arial"/>
                <w:u w:val="single"/>
              </w:rPr>
            </w:pPr>
            <w:r>
              <w:rPr>
                <w:rFonts w:cs="Arial" w:ascii="Arial" w:hAnsi="Arial"/>
                <w:b/>
              </w:rPr>
              <w:t>United States Department of Energy, Washington, D. C. -</w:t>
            </w:r>
            <w:r>
              <w:rPr>
                <w:rFonts w:cs="Arial" w:ascii="Arial" w:hAnsi="Arial"/>
              </w:rPr>
              <w:t xml:space="preserve"> </w:t>
            </w:r>
            <w:r>
              <w:rPr>
                <w:rFonts w:cs="Arial" w:ascii="Arial" w:hAnsi="Arial"/>
                <w:b/>
              </w:rPr>
              <w:t>Deputy General Counsel for Energy Resources and Legislation</w:t>
            </w:r>
          </w:p>
        </w:tc>
      </w:tr>
      <w:tr>
        <w:trPr/>
        <w:tc>
          <w:tcPr>
            <w:tcW w:w="1815" w:type="dxa"/>
            <w:tcBorders>
              <w:end w:val="single" w:sz="12" w:space="0" w:color="000000"/>
            </w:tcBorders>
          </w:tcPr>
          <w:p>
            <w:pPr>
              <w:pStyle w:val="Normal"/>
              <w:snapToGrid w:val="false"/>
              <w:rPr>
                <w:rFonts w:ascii="Arial" w:hAnsi="Arial" w:cs="Arial"/>
                <w:u w:val="single"/>
              </w:rPr>
            </w:pPr>
            <w:r>
              <w:rPr>
                <w:rFonts w:cs="Arial" w:ascii="Arial" w:hAnsi="Arial"/>
                <w:u w:val="single"/>
              </w:rPr>
            </w:r>
          </w:p>
        </w:tc>
        <w:tc>
          <w:tcPr>
            <w:tcW w:w="9165" w:type="dxa"/>
            <w:tcBorders>
              <w:start w:val="single" w:sz="12" w:space="0" w:color="000000"/>
            </w:tcBorders>
          </w:tcPr>
          <w:p>
            <w:pPr>
              <w:pStyle w:val="Normal"/>
              <w:snapToGrid w:val="false"/>
              <w:rPr>
                <w:rFonts w:ascii="Arial" w:hAnsi="Arial" w:cs="Arial"/>
                <w:b/>
              </w:rPr>
            </w:pPr>
            <w:r>
              <w:rPr>
                <w:rFonts w:cs="Arial" w:ascii="Arial" w:hAnsi="Arial"/>
                <w:b/>
              </w:rPr>
            </w:r>
          </w:p>
        </w:tc>
      </w:tr>
      <w:tr>
        <w:trPr/>
        <w:tc>
          <w:tcPr>
            <w:tcW w:w="1815" w:type="dxa"/>
            <w:tcBorders>
              <w:end w:val="single" w:sz="12" w:space="0" w:color="000000"/>
            </w:tcBorders>
          </w:tcPr>
          <w:p>
            <w:pPr>
              <w:pStyle w:val="Normal"/>
              <w:snapToGrid w:val="false"/>
              <w:rPr>
                <w:rFonts w:ascii="Arial" w:hAnsi="Arial" w:cs="Arial"/>
                <w:b/>
              </w:rPr>
            </w:pPr>
            <w:r>
              <w:rPr>
                <w:rFonts w:cs="Arial" w:ascii="Arial" w:hAnsi="Arial"/>
                <w:b/>
              </w:rPr>
            </w:r>
          </w:p>
        </w:tc>
        <w:tc>
          <w:tcPr>
            <w:tcW w:w="9165" w:type="dxa"/>
            <w:tcBorders>
              <w:start w:val="single" w:sz="12" w:space="0" w:color="000000"/>
            </w:tcBorders>
          </w:tcPr>
          <w:p>
            <w:pPr>
              <w:pStyle w:val="Normal"/>
              <w:rPr>
                <w:rFonts w:ascii="Arial" w:hAnsi="Arial" w:cs="Arial"/>
                <w:b/>
              </w:rPr>
            </w:pPr>
            <w:r>
              <w:rPr>
                <w:rFonts w:cs="Arial" w:ascii="Arial" w:hAnsi="Arial"/>
              </w:rPr>
              <w:t>Responsible for several areas, including:</w:t>
            </w:r>
          </w:p>
        </w:tc>
      </w:tr>
      <w:tr>
        <w:trPr/>
        <w:tc>
          <w:tcPr>
            <w:tcW w:w="1815" w:type="dxa"/>
            <w:tcBorders>
              <w:end w:val="single" w:sz="12" w:space="0" w:color="000000"/>
            </w:tcBorders>
          </w:tcPr>
          <w:p>
            <w:pPr>
              <w:pStyle w:val="Normal"/>
              <w:snapToGrid w:val="false"/>
              <w:rPr>
                <w:rFonts w:ascii="Arial" w:hAnsi="Arial" w:cs="Arial"/>
                <w:b/>
              </w:rPr>
            </w:pPr>
            <w:r>
              <w:rPr>
                <w:rFonts w:cs="Arial" w:ascii="Arial" w:hAnsi="Arial"/>
                <w:b/>
              </w:rPr>
            </w:r>
          </w:p>
        </w:tc>
        <w:tc>
          <w:tcPr>
            <w:tcW w:w="9165" w:type="dxa"/>
            <w:tcBorders>
              <w:start w:val="single" w:sz="12" w:space="0" w:color="000000"/>
            </w:tcBorders>
          </w:tcPr>
          <w:p>
            <w:pPr>
              <w:pStyle w:val="Normal"/>
              <w:snapToGrid w:val="false"/>
              <w:rPr>
                <w:rFonts w:ascii="Arial" w:hAnsi="Arial" w:cs="Arial"/>
                <w:u w:val="single"/>
              </w:rPr>
            </w:pPr>
            <w:r>
              <w:rPr>
                <w:rFonts w:cs="Arial" w:ascii="Arial" w:hAnsi="Arial"/>
                <w:u w:val="single"/>
              </w:rPr>
            </w:r>
          </w:p>
        </w:tc>
      </w:tr>
      <w:tr>
        <w:trPr/>
        <w:tc>
          <w:tcPr>
            <w:tcW w:w="1815" w:type="dxa"/>
            <w:tcBorders>
              <w:end w:val="single" w:sz="12" w:space="0" w:color="000000"/>
            </w:tcBorders>
          </w:tcPr>
          <w:p>
            <w:pPr>
              <w:pStyle w:val="Normal"/>
              <w:snapToGrid w:val="false"/>
              <w:rPr>
                <w:rFonts w:ascii="Arial" w:hAnsi="Arial" w:cs="Arial"/>
                <w:u w:val="single"/>
              </w:rPr>
            </w:pPr>
            <w:r>
              <w:rPr>
                <w:rFonts w:cs="Arial" w:ascii="Arial" w:hAnsi="Arial"/>
                <w:u w:val="single"/>
              </w:rPr>
            </w:r>
          </w:p>
        </w:tc>
        <w:tc>
          <w:tcPr>
            <w:tcW w:w="9165" w:type="dxa"/>
            <w:tcBorders>
              <w:start w:val="single" w:sz="12" w:space="0" w:color="000000"/>
            </w:tcBorders>
          </w:tcPr>
          <w:p>
            <w:pPr>
              <w:pStyle w:val="Normal"/>
              <w:rPr/>
            </w:pPr>
            <w:r>
              <w:rPr>
                <w:rFonts w:cs="Arial" w:ascii="Arial" w:hAnsi="Arial"/>
                <w:b/>
              </w:rPr>
              <w:t>Legislation</w:t>
            </w:r>
            <w:r>
              <w:rPr>
                <w:rFonts w:cs="Arial" w:ascii="Arial" w:hAnsi="Arial"/>
              </w:rPr>
              <w:t xml:space="preserve"> – drafting of legislation, most notably the Administration proposals which became the Energy Policy Act of 1992, including reform of the Public Utility Holding Company Act, as well as portions of the Clean Air Amendments of 1990.</w:t>
            </w:r>
          </w:p>
          <w:p>
            <w:pPr>
              <w:pStyle w:val="Normal"/>
              <w:rPr>
                <w:rFonts w:ascii="Arial" w:hAnsi="Arial" w:cs="Arial"/>
              </w:rPr>
            </w:pPr>
            <w:r>
              <w:rPr>
                <w:rFonts w:cs="Arial" w:ascii="Arial" w:hAnsi="Arial"/>
              </w:rPr>
            </w:r>
          </w:p>
          <w:p>
            <w:pPr>
              <w:pStyle w:val="Normal"/>
              <w:rPr/>
            </w:pPr>
            <w:r>
              <w:rPr>
                <w:rFonts w:cs="Arial" w:ascii="Arial" w:hAnsi="Arial"/>
                <w:b/>
              </w:rPr>
              <w:t>Fossil Energy</w:t>
            </w:r>
            <w:r>
              <w:rPr>
                <w:rFonts w:cs="Arial" w:ascii="Arial" w:hAnsi="Arial"/>
              </w:rPr>
              <w:t xml:space="preserve"> – counsel to the U. S. natural gas import/export program (including participation in semi-annual U. S.-Canada Gas Trade Consultations), and development of Department positions on domestic oil and natural gas policy and fossil fuels research and development activities.</w:t>
            </w:r>
          </w:p>
          <w:p>
            <w:pPr>
              <w:pStyle w:val="Normal"/>
              <w:rPr>
                <w:rFonts w:ascii="Arial" w:hAnsi="Arial" w:cs="Arial"/>
              </w:rPr>
            </w:pPr>
            <w:r>
              <w:rPr>
                <w:rFonts w:cs="Arial" w:ascii="Arial" w:hAnsi="Arial"/>
              </w:rPr>
            </w:r>
          </w:p>
          <w:p>
            <w:pPr>
              <w:pStyle w:val="Normal"/>
              <w:rPr/>
            </w:pPr>
            <w:r>
              <w:rPr>
                <w:rFonts w:cs="Arial" w:ascii="Arial" w:hAnsi="Arial"/>
                <w:b/>
              </w:rPr>
              <w:t>Congressional Testimony</w:t>
            </w:r>
            <w:r>
              <w:rPr>
                <w:rFonts w:cs="Arial" w:ascii="Arial" w:hAnsi="Arial"/>
              </w:rPr>
              <w:t xml:space="preserve"> – Testified before numerous Committees of the U. S. Senate and House of Representatives on energy, environment, and trade policy issues. Principal Administration witness on natural gas industry and legislative issues.</w:t>
            </w:r>
          </w:p>
          <w:p>
            <w:pPr>
              <w:pStyle w:val="Normal"/>
              <w:rPr>
                <w:rFonts w:ascii="Arial" w:hAnsi="Arial" w:cs="Arial"/>
              </w:rPr>
            </w:pPr>
            <w:r>
              <w:rPr>
                <w:rFonts w:cs="Arial" w:ascii="Arial" w:hAnsi="Arial"/>
              </w:rPr>
            </w:r>
          </w:p>
          <w:p>
            <w:pPr>
              <w:pStyle w:val="Normal"/>
              <w:rPr>
                <w:rFonts w:ascii="Arial" w:hAnsi="Arial" w:cs="Arial"/>
                <w:u w:val="single"/>
              </w:rPr>
            </w:pPr>
            <w:r>
              <w:rPr>
                <w:rFonts w:cs="Arial" w:ascii="Arial" w:hAnsi="Arial"/>
                <w:b/>
              </w:rPr>
              <w:t>Environmental</w:t>
            </w:r>
            <w:r>
              <w:rPr>
                <w:rFonts w:cs="Arial" w:ascii="Arial" w:hAnsi="Arial"/>
              </w:rPr>
              <w:t xml:space="preserve"> – addressed compliance, reporting, oversight and policy issues under all federal environmental statutes and delegated state regulatory programs, including but not limited to the Clean Air Act, Clean Water Act, RCRA, and CERCLA for the Department’s seventeen-facility nuclear weapons production complex, an industrial complex with an annual budget of nearly $10 billion.</w:t>
            </w:r>
          </w:p>
        </w:tc>
      </w:tr>
      <w:tr>
        <w:trPr/>
        <w:tc>
          <w:tcPr>
            <w:tcW w:w="1815" w:type="dxa"/>
            <w:tcBorders>
              <w:end w:val="single" w:sz="12" w:space="0" w:color="000000"/>
            </w:tcBorders>
          </w:tcPr>
          <w:p>
            <w:pPr>
              <w:pStyle w:val="Normal"/>
              <w:snapToGrid w:val="false"/>
              <w:rPr>
                <w:rFonts w:ascii="Arial" w:hAnsi="Arial" w:cs="Arial"/>
                <w:u w:val="single"/>
              </w:rPr>
            </w:pPr>
            <w:r>
              <w:rPr>
                <w:rFonts w:cs="Arial" w:ascii="Arial" w:hAnsi="Arial"/>
                <w:u w:val="single"/>
              </w:rPr>
            </w:r>
          </w:p>
        </w:tc>
        <w:tc>
          <w:tcPr>
            <w:tcW w:w="9165" w:type="dxa"/>
            <w:tcBorders>
              <w:start w:val="single" w:sz="12" w:space="0" w:color="000000"/>
            </w:tcBorders>
          </w:tcPr>
          <w:p>
            <w:pPr>
              <w:pStyle w:val="Normal"/>
              <w:snapToGrid w:val="false"/>
              <w:rPr>
                <w:rFonts w:ascii="Arial" w:hAnsi="Arial" w:cs="Arial"/>
                <w:b/>
              </w:rPr>
            </w:pPr>
            <w:r>
              <w:rPr>
                <w:rFonts w:cs="Arial" w:ascii="Arial" w:hAnsi="Arial"/>
                <w:b/>
              </w:rPr>
            </w:r>
          </w:p>
        </w:tc>
      </w:tr>
      <w:tr>
        <w:trPr/>
        <w:tc>
          <w:tcPr>
            <w:tcW w:w="1815" w:type="dxa"/>
            <w:tcBorders>
              <w:end w:val="single" w:sz="12" w:space="0" w:color="000000"/>
            </w:tcBorders>
          </w:tcPr>
          <w:p>
            <w:pPr>
              <w:pStyle w:val="Normal"/>
              <w:rPr>
                <w:rFonts w:ascii="Arial" w:hAnsi="Arial" w:cs="Arial"/>
              </w:rPr>
            </w:pPr>
            <w:r>
              <w:rPr>
                <w:rFonts w:cs="Arial" w:ascii="Arial" w:hAnsi="Arial"/>
              </w:rPr>
              <w:t>August 1984 to</w:t>
            </w:r>
          </w:p>
          <w:p>
            <w:pPr>
              <w:pStyle w:val="Normal"/>
              <w:rPr>
                <w:rFonts w:ascii="Arial" w:hAnsi="Arial" w:cs="Arial"/>
              </w:rPr>
            </w:pPr>
            <w:r>
              <w:rPr>
                <w:rFonts w:cs="Arial" w:ascii="Arial" w:hAnsi="Arial"/>
              </w:rPr>
              <w:t>August 1989</w:t>
            </w:r>
          </w:p>
        </w:tc>
        <w:tc>
          <w:tcPr>
            <w:tcW w:w="9165" w:type="dxa"/>
            <w:tcBorders>
              <w:start w:val="single" w:sz="12" w:space="0" w:color="000000"/>
            </w:tcBorders>
          </w:tcPr>
          <w:p>
            <w:pPr>
              <w:pStyle w:val="Normal"/>
              <w:rPr>
                <w:rFonts w:ascii="Arial" w:hAnsi="Arial" w:cs="Arial"/>
              </w:rPr>
            </w:pPr>
            <w:r>
              <w:rPr>
                <w:rFonts w:cs="Arial" w:ascii="Arial" w:hAnsi="Arial"/>
                <w:b/>
              </w:rPr>
              <w:t>Baker &amp; Botts, Attorneys at Law, Washington, D. C. -</w:t>
            </w:r>
            <w:r>
              <w:rPr>
                <w:rFonts w:cs="Arial" w:ascii="Arial" w:hAnsi="Arial"/>
              </w:rPr>
              <w:t xml:space="preserve"> </w:t>
            </w:r>
            <w:r>
              <w:rPr>
                <w:rFonts w:cs="Arial" w:ascii="Arial" w:hAnsi="Arial"/>
                <w:b/>
              </w:rPr>
              <w:t>Associate</w:t>
            </w:r>
          </w:p>
          <w:p>
            <w:pPr>
              <w:pStyle w:val="Normal"/>
              <w:rPr>
                <w:rFonts w:ascii="Arial" w:hAnsi="Arial" w:cs="Arial"/>
                <w:b/>
              </w:rPr>
            </w:pPr>
            <w:r>
              <w:rPr>
                <w:rFonts w:cs="Arial" w:ascii="Arial" w:hAnsi="Arial"/>
                <w:b/>
              </w:rPr>
            </w:r>
          </w:p>
        </w:tc>
      </w:tr>
      <w:tr>
        <w:trPr/>
        <w:tc>
          <w:tcPr>
            <w:tcW w:w="1815" w:type="dxa"/>
            <w:tcBorders>
              <w:end w:val="single" w:sz="12" w:space="0" w:color="000000"/>
            </w:tcBorders>
          </w:tcPr>
          <w:p>
            <w:pPr>
              <w:pStyle w:val="Normal"/>
              <w:snapToGrid w:val="false"/>
              <w:rPr>
                <w:rFonts w:ascii="Arial" w:hAnsi="Arial" w:cs="Arial"/>
                <w:b/>
              </w:rPr>
            </w:pPr>
            <w:r>
              <w:rPr>
                <w:rFonts w:cs="Arial" w:ascii="Arial" w:hAnsi="Arial"/>
                <w:b/>
              </w:rPr>
            </w:r>
          </w:p>
        </w:tc>
        <w:tc>
          <w:tcPr>
            <w:tcW w:w="9165" w:type="dxa"/>
            <w:tcBorders>
              <w:start w:val="single" w:sz="12" w:space="0" w:color="000000"/>
            </w:tcBorders>
          </w:tcPr>
          <w:p>
            <w:pPr>
              <w:pStyle w:val="Normal"/>
              <w:rPr>
                <w:rFonts w:ascii="Arial" w:hAnsi="Arial" w:cs="Arial"/>
                <w:b/>
              </w:rPr>
            </w:pPr>
            <w:r>
              <w:rPr>
                <w:rFonts w:cs="Arial" w:ascii="Arial" w:hAnsi="Arial"/>
              </w:rPr>
              <w:t>Practice in the fields of energy regulation and trade policy, including legislative matters. Energy regulatory emphasis in the natural gas and electric utility industries, including involvement in rulemakings, investigations, rate proceedings, and electric utility transmission service issues before federal and state agencies, contract litigation, appellate practice before federal courts, strategic business planning, and commercial transactions for energy concerns. Trade practice consisted of advising clients on U. S. export controls and trade policy. Legislative experience: A two-year (1985 - 1986) coalition effort opposing crude oil import fees; also primary responsibility for seeking special tariff relief (1988) for private concern.</w:t>
            </w:r>
          </w:p>
        </w:tc>
      </w:tr>
      <w:tr>
        <w:trPr/>
        <w:tc>
          <w:tcPr>
            <w:tcW w:w="1815" w:type="dxa"/>
            <w:tcBorders>
              <w:end w:val="single" w:sz="12" w:space="0" w:color="000000"/>
            </w:tcBorders>
          </w:tcPr>
          <w:p>
            <w:pPr>
              <w:pStyle w:val="Normal"/>
              <w:snapToGrid w:val="false"/>
              <w:rPr>
                <w:rFonts w:ascii="Arial" w:hAnsi="Arial" w:cs="Arial"/>
                <w:b/>
              </w:rPr>
            </w:pPr>
            <w:r>
              <w:rPr>
                <w:rFonts w:cs="Arial" w:ascii="Arial" w:hAnsi="Arial"/>
                <w:b/>
              </w:rPr>
            </w:r>
          </w:p>
        </w:tc>
        <w:tc>
          <w:tcPr>
            <w:tcW w:w="9165" w:type="dxa"/>
            <w:tcBorders>
              <w:start w:val="single" w:sz="12" w:space="0" w:color="000000"/>
            </w:tcBorders>
          </w:tcPr>
          <w:p>
            <w:pPr>
              <w:pStyle w:val="Normal"/>
              <w:snapToGrid w:val="false"/>
              <w:rPr>
                <w:rFonts w:ascii="Arial" w:hAnsi="Arial" w:cs="Arial"/>
                <w:u w:val="single"/>
              </w:rPr>
            </w:pPr>
            <w:r>
              <w:rPr>
                <w:rFonts w:cs="Arial" w:ascii="Arial" w:hAnsi="Arial"/>
                <w:u w:val="single"/>
              </w:rPr>
            </w:r>
          </w:p>
        </w:tc>
      </w:tr>
      <w:tr>
        <w:trPr/>
        <w:tc>
          <w:tcPr>
            <w:tcW w:w="1815" w:type="dxa"/>
            <w:tcBorders>
              <w:end w:val="single" w:sz="12" w:space="0" w:color="000000"/>
            </w:tcBorders>
          </w:tcPr>
          <w:p>
            <w:pPr>
              <w:pStyle w:val="Normal"/>
              <w:rPr>
                <w:rFonts w:ascii="Arial" w:hAnsi="Arial" w:cs="Arial"/>
              </w:rPr>
            </w:pPr>
            <w:r>
              <w:rPr>
                <w:rFonts w:cs="Arial" w:ascii="Arial" w:hAnsi="Arial"/>
              </w:rPr>
              <w:t>August 1983 to</w:t>
            </w:r>
          </w:p>
          <w:p>
            <w:pPr>
              <w:pStyle w:val="Normal"/>
              <w:rPr>
                <w:rFonts w:ascii="Arial" w:hAnsi="Arial" w:cs="Arial"/>
              </w:rPr>
            </w:pPr>
            <w:r>
              <w:rPr>
                <w:rFonts w:cs="Arial" w:ascii="Arial" w:hAnsi="Arial"/>
              </w:rPr>
              <w:t>August 1984</w:t>
            </w:r>
          </w:p>
        </w:tc>
        <w:tc>
          <w:tcPr>
            <w:tcW w:w="9165" w:type="dxa"/>
            <w:tcBorders>
              <w:start w:val="single" w:sz="12" w:space="0" w:color="000000"/>
            </w:tcBorders>
          </w:tcPr>
          <w:p>
            <w:pPr>
              <w:pStyle w:val="Normal"/>
              <w:rPr>
                <w:rFonts w:ascii="Arial" w:hAnsi="Arial" w:cs="Arial"/>
                <w:u w:val="single"/>
              </w:rPr>
            </w:pPr>
            <w:r>
              <w:rPr>
                <w:rFonts w:cs="Arial" w:ascii="Arial" w:hAnsi="Arial"/>
                <w:b/>
              </w:rPr>
              <w:t>Honorable Frank J. Polozola, United States District Judge, Middle District of Louisiana, U. S. District Court, Baton Rouge, Louisiana - Judicial Clerk</w:t>
            </w:r>
          </w:p>
        </w:tc>
      </w:tr>
      <w:tr>
        <w:trPr/>
        <w:tc>
          <w:tcPr>
            <w:tcW w:w="1815" w:type="dxa"/>
            <w:tcBorders>
              <w:end w:val="single" w:sz="12" w:space="0" w:color="000000"/>
            </w:tcBorders>
          </w:tcPr>
          <w:p>
            <w:pPr>
              <w:pStyle w:val="Normal"/>
              <w:snapToGrid w:val="false"/>
              <w:rPr>
                <w:rFonts w:ascii="Arial" w:hAnsi="Arial" w:cs="Arial"/>
                <w:u w:val="single"/>
              </w:rPr>
            </w:pPr>
            <w:r>
              <w:rPr>
                <w:rFonts w:cs="Arial" w:ascii="Arial" w:hAnsi="Arial"/>
                <w:u w:val="single"/>
              </w:rPr>
            </w:r>
          </w:p>
        </w:tc>
        <w:tc>
          <w:tcPr>
            <w:tcW w:w="9165" w:type="dxa"/>
            <w:tcBorders>
              <w:start w:val="single" w:sz="12" w:space="0" w:color="000000"/>
            </w:tcBorders>
          </w:tcPr>
          <w:p>
            <w:pPr>
              <w:pStyle w:val="Normal"/>
              <w:snapToGrid w:val="false"/>
              <w:rPr>
                <w:rFonts w:ascii="Arial" w:hAnsi="Arial" w:cs="Arial"/>
                <w:b/>
              </w:rPr>
            </w:pPr>
            <w:r>
              <w:rPr>
                <w:rFonts w:cs="Arial" w:ascii="Arial" w:hAnsi="Arial"/>
                <w:b/>
              </w:rPr>
            </w:r>
          </w:p>
        </w:tc>
      </w:tr>
      <w:tr>
        <w:trPr/>
        <w:tc>
          <w:tcPr>
            <w:tcW w:w="1815" w:type="dxa"/>
            <w:tcBorders>
              <w:end w:val="single" w:sz="12" w:space="0" w:color="000000"/>
            </w:tcBorders>
          </w:tcPr>
          <w:p>
            <w:pPr>
              <w:pStyle w:val="Normal"/>
              <w:rPr>
                <w:rFonts w:ascii="Arial" w:hAnsi="Arial" w:cs="Arial"/>
              </w:rPr>
            </w:pPr>
            <w:r>
              <w:rPr>
                <w:rFonts w:cs="Arial" w:ascii="Arial" w:hAnsi="Arial"/>
              </w:rPr>
              <w:t>September 1978 to August 1980</w:t>
            </w:r>
          </w:p>
        </w:tc>
        <w:tc>
          <w:tcPr>
            <w:tcW w:w="9165" w:type="dxa"/>
            <w:tcBorders>
              <w:start w:val="single" w:sz="12" w:space="0" w:color="000000"/>
            </w:tcBorders>
          </w:tcPr>
          <w:p>
            <w:pPr>
              <w:pStyle w:val="Normal"/>
              <w:rPr>
                <w:rFonts w:ascii="Arial" w:hAnsi="Arial" w:cs="Arial"/>
                <w:u w:val="single"/>
              </w:rPr>
            </w:pPr>
            <w:r>
              <w:rPr>
                <w:rFonts w:cs="Arial" w:ascii="Arial" w:hAnsi="Arial"/>
                <w:b/>
              </w:rPr>
              <w:t>Peat Marwick, Mitchell &amp; Co., Certified Public Accountants New Orleans, Louisiana -</w:t>
            </w:r>
            <w:r>
              <w:rPr>
                <w:rFonts w:cs="Arial" w:ascii="Arial" w:hAnsi="Arial"/>
              </w:rPr>
              <w:t xml:space="preserve"> </w:t>
            </w:r>
            <w:r>
              <w:rPr>
                <w:rFonts w:cs="Arial" w:ascii="Arial" w:hAnsi="Arial"/>
                <w:b/>
              </w:rPr>
              <w:t>Senior</w:t>
            </w:r>
            <w:r>
              <w:rPr>
                <w:rFonts w:cs="Arial" w:ascii="Arial" w:hAnsi="Arial"/>
              </w:rPr>
              <w:t xml:space="preserve"> </w:t>
            </w:r>
            <w:r>
              <w:rPr>
                <w:rFonts w:cs="Arial" w:ascii="Arial" w:hAnsi="Arial"/>
                <w:b/>
              </w:rPr>
              <w:t>Tax Specialist; Staff Accountant (Audit) (1978 - 1979)</w:t>
            </w:r>
          </w:p>
        </w:tc>
      </w:tr>
      <w:tr>
        <w:trPr/>
        <w:tc>
          <w:tcPr>
            <w:tcW w:w="1815" w:type="dxa"/>
            <w:tcBorders>
              <w:end w:val="single" w:sz="12" w:space="0" w:color="000000"/>
            </w:tcBorders>
          </w:tcPr>
          <w:p>
            <w:pPr>
              <w:pStyle w:val="Normal"/>
              <w:snapToGrid w:val="false"/>
              <w:rPr>
                <w:rFonts w:ascii="Arial" w:hAnsi="Arial" w:cs="Arial"/>
                <w:u w:val="single"/>
              </w:rPr>
            </w:pPr>
            <w:r>
              <w:rPr>
                <w:rFonts w:cs="Arial" w:ascii="Arial" w:hAnsi="Arial"/>
                <w:u w:val="single"/>
              </w:rPr>
            </w:r>
          </w:p>
        </w:tc>
        <w:tc>
          <w:tcPr>
            <w:tcW w:w="9165" w:type="dxa"/>
            <w:tcBorders>
              <w:start w:val="single" w:sz="12" w:space="0" w:color="000000"/>
            </w:tcBorders>
          </w:tcPr>
          <w:p>
            <w:pPr>
              <w:pStyle w:val="Normal"/>
              <w:snapToGrid w:val="false"/>
              <w:rPr>
                <w:rFonts w:ascii="Arial" w:hAnsi="Arial" w:cs="Arial"/>
                <w:b/>
              </w:rPr>
            </w:pPr>
            <w:r>
              <w:rPr>
                <w:rFonts w:cs="Arial" w:ascii="Arial" w:hAnsi="Arial"/>
                <w:b/>
              </w:rPr>
            </w:r>
          </w:p>
        </w:tc>
      </w:tr>
      <w:tr>
        <w:trPr/>
        <w:tc>
          <w:tcPr>
            <w:tcW w:w="1815" w:type="dxa"/>
            <w:tcBorders>
              <w:end w:val="single" w:sz="12" w:space="0" w:color="000000"/>
            </w:tcBorders>
          </w:tcPr>
          <w:p>
            <w:pPr>
              <w:pStyle w:val="Normal"/>
              <w:snapToGrid w:val="false"/>
              <w:rPr>
                <w:rFonts w:ascii="Arial" w:hAnsi="Arial" w:cs="Arial"/>
                <w:b/>
                <w:sz w:val="24"/>
              </w:rPr>
            </w:pPr>
            <w:r>
              <w:rPr>
                <w:rFonts w:cs="Arial" w:ascii="Arial" w:hAnsi="Arial"/>
                <w:b/>
                <w:sz w:val="24"/>
              </w:rPr>
            </w:r>
          </w:p>
        </w:tc>
        <w:tc>
          <w:tcPr>
            <w:tcW w:w="9165" w:type="dxa"/>
            <w:tcBorders>
              <w:start w:val="single" w:sz="12" w:space="0" w:color="000000"/>
            </w:tcBorders>
          </w:tcPr>
          <w:p>
            <w:pPr>
              <w:pStyle w:val="Normal"/>
              <w:rPr>
                <w:rFonts w:ascii="Arial" w:hAnsi="Arial" w:cs="Arial"/>
                <w:sz w:val="24"/>
              </w:rPr>
            </w:pPr>
            <w:r>
              <w:rPr>
                <w:rFonts w:cs="Arial" w:ascii="Arial" w:hAnsi="Arial"/>
                <w:b/>
                <w:sz w:val="24"/>
              </w:rPr>
              <w:t>Education</w:t>
            </w:r>
          </w:p>
          <w:p>
            <w:pPr>
              <w:pStyle w:val="Normal"/>
              <w:rPr>
                <w:rFonts w:ascii="Arial" w:hAnsi="Arial" w:cs="Arial"/>
                <w:sz w:val="24"/>
                <w:u w:val="single"/>
              </w:rPr>
            </w:pPr>
            <w:r>
              <w:rPr>
                <w:rFonts w:cs="Arial" w:ascii="Arial" w:hAnsi="Arial"/>
                <w:sz w:val="24"/>
                <w:u w:val="single"/>
              </w:rPr>
            </w:r>
          </w:p>
        </w:tc>
      </w:tr>
      <w:tr>
        <w:trPr/>
        <w:tc>
          <w:tcPr>
            <w:tcW w:w="1815" w:type="dxa"/>
            <w:tcBorders>
              <w:end w:val="single" w:sz="12" w:space="0" w:color="000000"/>
            </w:tcBorders>
          </w:tcPr>
          <w:p>
            <w:pPr>
              <w:pStyle w:val="Normal"/>
              <w:snapToGrid w:val="false"/>
              <w:rPr>
                <w:rFonts w:ascii="Arial" w:hAnsi="Arial" w:cs="Arial"/>
                <w:sz w:val="24"/>
                <w:u w:val="single"/>
              </w:rPr>
            </w:pPr>
            <w:r>
              <w:rPr>
                <w:rFonts w:cs="Arial" w:ascii="Arial" w:hAnsi="Arial"/>
                <w:sz w:val="24"/>
                <w:u w:val="single"/>
              </w:rPr>
            </w:r>
          </w:p>
        </w:tc>
        <w:tc>
          <w:tcPr>
            <w:tcW w:w="9165" w:type="dxa"/>
            <w:tcBorders>
              <w:start w:val="single" w:sz="12" w:space="0" w:color="000000"/>
            </w:tcBorders>
          </w:tcPr>
          <w:p>
            <w:pPr>
              <w:pStyle w:val="Normal"/>
              <w:rPr>
                <w:rFonts w:ascii="Arial" w:hAnsi="Arial" w:cs="Arial"/>
              </w:rPr>
            </w:pPr>
            <w:r>
              <w:rPr>
                <w:rFonts w:cs="Arial" w:ascii="Arial" w:hAnsi="Arial"/>
              </w:rPr>
              <w:t>Paul M. Hebert Law Center, Louisiana State University, Baton Rouge, Louisiana. Juris Doctorate. Degree Awarded: May 1983</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 xml:space="preserve">Honors and Activities: Managing Editor, Volume 43 (1982 - 1983) </w:t>
            </w:r>
            <w:r>
              <w:rPr>
                <w:rFonts w:cs="Arial" w:ascii="Arial" w:hAnsi="Arial"/>
                <w:u w:val="single"/>
              </w:rPr>
              <w:t>Louisiana Law Review</w:t>
            </w:r>
          </w:p>
        </w:tc>
      </w:tr>
      <w:tr>
        <w:trPr/>
        <w:tc>
          <w:tcPr>
            <w:tcW w:w="1815" w:type="dxa"/>
            <w:tcBorders>
              <w:end w:val="single" w:sz="12" w:space="0" w:color="000000"/>
            </w:tcBorders>
          </w:tcPr>
          <w:p>
            <w:pPr>
              <w:pStyle w:val="Normal"/>
              <w:snapToGrid w:val="false"/>
              <w:rPr>
                <w:rFonts w:ascii="Arial" w:hAnsi="Arial" w:cs="Arial"/>
                <w:b/>
              </w:rPr>
            </w:pPr>
            <w:r>
              <w:rPr>
                <w:rFonts w:cs="Arial" w:ascii="Arial" w:hAnsi="Arial"/>
                <w:b/>
              </w:rPr>
            </w:r>
          </w:p>
        </w:tc>
        <w:tc>
          <w:tcPr>
            <w:tcW w:w="9165" w:type="dxa"/>
            <w:tcBorders>
              <w:start w:val="single" w:sz="12" w:space="0" w:color="000000"/>
            </w:tcBorders>
          </w:tcPr>
          <w:p>
            <w:pPr>
              <w:pStyle w:val="Normal"/>
              <w:snapToGrid w:val="false"/>
              <w:rPr>
                <w:rFonts w:ascii="Arial" w:hAnsi="Arial" w:cs="Arial"/>
              </w:rPr>
            </w:pPr>
            <w:r>
              <w:rPr>
                <w:rFonts w:cs="Arial" w:ascii="Arial" w:hAnsi="Arial"/>
              </w:rPr>
            </w:r>
          </w:p>
        </w:tc>
      </w:tr>
      <w:tr>
        <w:trPr/>
        <w:tc>
          <w:tcPr>
            <w:tcW w:w="1815" w:type="dxa"/>
            <w:tcBorders>
              <w:end w:val="single" w:sz="12" w:space="0" w:color="000000"/>
            </w:tcBorders>
          </w:tcPr>
          <w:p>
            <w:pPr>
              <w:pStyle w:val="Normal"/>
              <w:snapToGrid w:val="false"/>
              <w:rPr>
                <w:rFonts w:ascii="Arial" w:hAnsi="Arial" w:cs="Arial"/>
              </w:rPr>
            </w:pPr>
            <w:r>
              <w:rPr>
                <w:rFonts w:cs="Arial" w:ascii="Arial" w:hAnsi="Arial"/>
              </w:rPr>
            </w:r>
          </w:p>
        </w:tc>
        <w:tc>
          <w:tcPr>
            <w:tcW w:w="9165" w:type="dxa"/>
            <w:tcBorders>
              <w:start w:val="single" w:sz="12" w:space="0" w:color="000000"/>
            </w:tcBorders>
          </w:tcPr>
          <w:p>
            <w:pPr>
              <w:pStyle w:val="Normal"/>
              <w:rPr>
                <w:rFonts w:ascii="Arial" w:hAnsi="Arial" w:cs="Arial"/>
              </w:rPr>
            </w:pPr>
            <w:r>
              <w:rPr>
                <w:rFonts w:cs="Arial" w:ascii="Arial" w:hAnsi="Arial"/>
              </w:rPr>
              <w:t>Louisiana State University, Baton Rouge, Louisiana.</w:t>
            </w:r>
          </w:p>
          <w:p>
            <w:pPr>
              <w:pStyle w:val="Normal"/>
              <w:rPr>
                <w:rFonts w:ascii="Arial" w:hAnsi="Arial" w:cs="Arial"/>
              </w:rPr>
            </w:pPr>
            <w:r>
              <w:rPr>
                <w:rFonts w:cs="Arial" w:ascii="Arial" w:hAnsi="Arial"/>
              </w:rPr>
              <w:t>Bachelor of Science in Accounting. Degree Awarded: May 1978</w:t>
            </w:r>
          </w:p>
        </w:tc>
      </w:tr>
      <w:tr>
        <w:trPr/>
        <w:tc>
          <w:tcPr>
            <w:tcW w:w="1815" w:type="dxa"/>
            <w:tcBorders>
              <w:end w:val="single" w:sz="12" w:space="0" w:color="000000"/>
            </w:tcBorders>
          </w:tcPr>
          <w:p>
            <w:pPr>
              <w:pStyle w:val="Normal"/>
              <w:snapToGrid w:val="false"/>
              <w:rPr>
                <w:rFonts w:ascii="Arial" w:hAnsi="Arial" w:cs="Arial"/>
              </w:rPr>
            </w:pPr>
            <w:r>
              <w:rPr>
                <w:rFonts w:cs="Arial" w:ascii="Arial" w:hAnsi="Arial"/>
              </w:rPr>
            </w:r>
          </w:p>
        </w:tc>
        <w:tc>
          <w:tcPr>
            <w:tcW w:w="9165" w:type="dxa"/>
            <w:tcBorders>
              <w:start w:val="single" w:sz="12" w:space="0" w:color="000000"/>
            </w:tcBorders>
          </w:tcPr>
          <w:p>
            <w:pPr>
              <w:pStyle w:val="Normal"/>
              <w:snapToGrid w:val="false"/>
              <w:rPr>
                <w:rFonts w:ascii="Arial" w:hAnsi="Arial" w:cs="Arial"/>
              </w:rPr>
            </w:pPr>
            <w:r>
              <w:rPr>
                <w:rFonts w:cs="Arial" w:ascii="Arial" w:hAnsi="Arial"/>
              </w:rPr>
            </w:r>
          </w:p>
        </w:tc>
      </w:tr>
      <w:tr>
        <w:trPr/>
        <w:tc>
          <w:tcPr>
            <w:tcW w:w="1815" w:type="dxa"/>
            <w:tcBorders>
              <w:end w:val="single" w:sz="12" w:space="0" w:color="000000"/>
            </w:tcBorders>
          </w:tcPr>
          <w:p>
            <w:pPr>
              <w:pStyle w:val="Normal"/>
              <w:snapToGrid w:val="false"/>
              <w:rPr>
                <w:rFonts w:ascii="Arial" w:hAnsi="Arial" w:cs="Arial"/>
                <w:sz w:val="24"/>
              </w:rPr>
            </w:pPr>
            <w:r>
              <w:rPr>
                <w:rFonts w:cs="Arial" w:ascii="Arial" w:hAnsi="Arial"/>
                <w:sz w:val="24"/>
              </w:rPr>
            </w:r>
          </w:p>
        </w:tc>
        <w:tc>
          <w:tcPr>
            <w:tcW w:w="9165" w:type="dxa"/>
            <w:tcBorders>
              <w:start w:val="single" w:sz="12" w:space="0" w:color="000000"/>
            </w:tcBorders>
          </w:tcPr>
          <w:p>
            <w:pPr>
              <w:pStyle w:val="Normal"/>
              <w:rPr>
                <w:rFonts w:ascii="Arial" w:hAnsi="Arial" w:cs="Arial"/>
                <w:b/>
              </w:rPr>
            </w:pPr>
            <w:r>
              <w:rPr>
                <w:rFonts w:cs="Arial" w:ascii="Arial" w:hAnsi="Arial"/>
                <w:b/>
                <w:sz w:val="24"/>
              </w:rPr>
              <w:t>Professional</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Admitted to the Bar, District of Columbia, 1984</w:t>
            </w:r>
          </w:p>
          <w:p>
            <w:pPr>
              <w:pStyle w:val="Normal"/>
              <w:rPr>
                <w:rFonts w:ascii="Arial" w:hAnsi="Arial" w:cs="Arial"/>
              </w:rPr>
            </w:pPr>
            <w:r>
              <w:rPr>
                <w:rFonts w:cs="Arial" w:ascii="Arial" w:hAnsi="Arial"/>
              </w:rPr>
              <w:t>Admitted to the Bar, Louisiana, 1983</w:t>
            </w:r>
          </w:p>
          <w:p>
            <w:pPr>
              <w:pStyle w:val="Normal"/>
              <w:rPr>
                <w:rFonts w:ascii="Arial" w:hAnsi="Arial" w:cs="Arial"/>
              </w:rPr>
            </w:pPr>
            <w:r>
              <w:rPr>
                <w:rFonts w:cs="Arial" w:ascii="Arial" w:hAnsi="Arial"/>
              </w:rPr>
              <w:t>Member, American Bar Association, 1984 to Present</w:t>
            </w:r>
          </w:p>
          <w:p>
            <w:pPr>
              <w:pStyle w:val="Normal"/>
              <w:rPr>
                <w:rFonts w:ascii="Arial" w:hAnsi="Arial" w:cs="Arial"/>
              </w:rPr>
            </w:pPr>
            <w:r>
              <w:rPr>
                <w:rFonts w:eastAsia="Arial" w:cs="Arial" w:ascii="Arial" w:hAnsi="Arial"/>
              </w:rPr>
              <w:t xml:space="preserve">               </w:t>
            </w:r>
            <w:r>
              <w:rPr>
                <w:rFonts w:cs="Arial" w:ascii="Arial" w:hAnsi="Arial"/>
              </w:rPr>
              <w:t>Section of Natural Resources, Energy and the Environment</w:t>
            </w:r>
          </w:p>
          <w:p>
            <w:pPr>
              <w:pStyle w:val="Normal"/>
              <w:rPr>
                <w:rFonts w:ascii="Arial" w:hAnsi="Arial" w:cs="Arial"/>
              </w:rPr>
            </w:pPr>
            <w:r>
              <w:rPr>
                <w:rFonts w:eastAsia="Arial" w:cs="Arial" w:ascii="Arial" w:hAnsi="Arial"/>
              </w:rPr>
              <w:t xml:space="preserve">               </w:t>
            </w:r>
            <w:r>
              <w:rPr>
                <w:rFonts w:cs="Arial" w:ascii="Arial" w:hAnsi="Arial"/>
              </w:rPr>
              <w:t>Section of International Law and Practice</w:t>
            </w:r>
          </w:p>
          <w:p>
            <w:pPr>
              <w:pStyle w:val="Normal"/>
              <w:rPr>
                <w:rFonts w:ascii="Arial" w:hAnsi="Arial" w:cs="Arial"/>
              </w:rPr>
            </w:pPr>
            <w:r>
              <w:rPr>
                <w:rFonts w:cs="Arial" w:ascii="Arial" w:hAnsi="Arial"/>
              </w:rPr>
              <w:t>Member, Federal Energy Bar Association, 1984 to Present</w:t>
            </w:r>
          </w:p>
          <w:p>
            <w:pPr>
              <w:pStyle w:val="Normal"/>
              <w:rPr>
                <w:rFonts w:ascii="Arial" w:hAnsi="Arial" w:cs="Arial"/>
              </w:rPr>
            </w:pPr>
            <w:r>
              <w:rPr>
                <w:rFonts w:cs="Arial" w:ascii="Arial" w:hAnsi="Arial"/>
              </w:rPr>
              <w:t>Certified Public Accountant, Louisiana, 1983</w:t>
            </w:r>
          </w:p>
          <w:p>
            <w:pPr>
              <w:pStyle w:val="Normal"/>
              <w:rPr>
                <w:rFonts w:ascii="Arial" w:hAnsi="Arial" w:cs="Arial"/>
              </w:rPr>
            </w:pPr>
            <w:r>
              <w:rPr>
                <w:rFonts w:cs="Arial" w:ascii="Arial" w:hAnsi="Arial"/>
              </w:rPr>
            </w:r>
          </w:p>
          <w:p>
            <w:pPr>
              <w:pStyle w:val="Heading1"/>
              <w:ind w:hanging="0" w:start="0"/>
              <w:rPr/>
            </w:pPr>
            <w:r>
              <w:rPr/>
              <w:t>Other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Member, Board of Directors, US-Russia Business Council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Member, Board of Directors, British American Business inc. (BABi - successor to the American Chamber of Commerce (UK) and the British American Chamber of Commerce).  Chairman of BABi’s Policy Forum on Energy, Environment, Biotech and Pharmaceuticals.</w:t>
            </w:r>
          </w:p>
          <w:p>
            <w:pPr>
              <w:pStyle w:val="Normal"/>
              <w:rPr>
                <w:rFonts w:ascii="Arial" w:hAnsi="Arial" w:cs="Arial"/>
                <w:sz w:val="24"/>
              </w:rPr>
            </w:pPr>
            <w:r>
              <w:rPr>
                <w:rFonts w:cs="Arial" w:ascii="Arial" w:hAnsi="Arial"/>
                <w:sz w:val="24"/>
              </w:rPr>
            </w:r>
          </w:p>
        </w:tc>
      </w:tr>
    </w:tbl>
    <w:p>
      <w:pPr>
        <w:pStyle w:val="Normal"/>
        <w:rPr/>
      </w:pPr>
      <w:r>
        <w:rPr>
          <w:rFonts w:eastAsia="CG Times"/>
        </w:rPr>
        <w:t xml:space="preserve">          </w:t>
      </w:r>
      <w:r>
        <w:rPr/>
        <w:tab/>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2000-12-14T07:27:00Z</dcterms:created>
  <dc:creator>Unknown</dc:creator>
  <dc:description/>
  <dc:language>en-CA</dc:language>
  <cp:lastModifiedBy>bashcrof</cp:lastModifiedBy>
  <cp:lastPrinted>2000-12-13T17:18:00Z</cp:lastPrinted>
  <dcterms:modified xsi:type="dcterms:W3CDTF">2000-12-14T07:27:00Z</dcterms:modified>
  <cp:revision>2</cp:revision>
  <dc:subject/>
  <dc:title>MARK C</dc:title>
</cp:coreProperties>
</file>