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BONNIE G. NELSON</w:t>
      </w:r>
    </w:p>
    <w:p>
      <w:pPr>
        <w:pStyle w:val="Normal"/>
        <w:jc w:val="center"/>
        <w:rPr/>
      </w:pPr>
      <w:r>
        <w:rPr/>
        <w:t>2828 Bammel Lane #601</w:t>
      </w:r>
    </w:p>
    <w:p>
      <w:pPr>
        <w:pStyle w:val="Normal"/>
        <w:jc w:val="center"/>
        <w:rPr/>
      </w:pPr>
      <w:r>
        <w:rPr/>
        <w:t>Houston, Texas 77098-1130</w:t>
      </w:r>
    </w:p>
    <w:p>
      <w:pPr>
        <w:pStyle w:val="Normal"/>
        <w:jc w:val="center"/>
        <w:rPr/>
      </w:pPr>
      <w:r>
        <w:rPr/>
        <w:t>(H) 713-526-6197</w:t>
      </w:r>
    </w:p>
    <w:p>
      <w:pPr>
        <w:pStyle w:val="Normal"/>
        <w:jc w:val="center"/>
        <w:rPr/>
      </w:pPr>
      <w:r>
        <w:rPr/>
        <w:t>(W) 713-646-7712</w:t>
      </w:r>
    </w:p>
    <w:p>
      <w:pPr>
        <w:pStyle w:val="Normal"/>
        <w:jc w:val="center"/>
        <w:rPr/>
      </w:pPr>
      <w:r>
        <w:rPr/>
        <w:t>e-mail: Bonnie.Nelson@Enron.com</w:t>
      </w:r>
    </w:p>
    <w:p>
      <w:pPr>
        <w:pStyle w:val="Normal"/>
        <w:jc w:val="center"/>
        <w:rPr/>
      </w:pPr>
      <w:r>
        <w:rPr/>
      </w:r>
    </w:p>
    <w:p>
      <w:pPr>
        <w:pStyle w:val="Heading1"/>
        <w:ind w:hanging="0" w:start="0"/>
        <w:rPr/>
      </w:pPr>
      <w:r>
        <w:rPr/>
        <w:t>PROFESSIONAL EXPERIENCE</w:t>
      </w:r>
    </w:p>
    <w:p>
      <w:pPr>
        <w:pStyle w:val="Normal"/>
        <w:jc w:val="both"/>
        <w:rPr>
          <w:b/>
          <w:u w:val="single"/>
        </w:rPr>
      </w:pPr>
      <w:r>
        <w:rPr>
          <w:b/>
          <w:u w:val="single"/>
        </w:rPr>
      </w:r>
    </w:p>
    <w:p>
      <w:pPr>
        <w:pStyle w:val="Heading3"/>
        <w:ind w:hanging="0" w:start="0"/>
        <w:rPr/>
      </w:pPr>
      <w:r>
        <w:rPr/>
        <w:t xml:space="preserve">ENRON ASIA PACIFIC/AFRICA/CHINA, </w:t>
      </w:r>
      <w:r>
        <w:rPr>
          <w:b w:val="false"/>
          <w:i w:val="false"/>
        </w:rPr>
        <w:t>Houston</w:t>
      </w:r>
    </w:p>
    <w:p>
      <w:pPr>
        <w:pStyle w:val="Normal"/>
        <w:jc w:val="both"/>
        <w:rPr/>
      </w:pPr>
      <w:r>
        <w:rPr/>
        <w:t>8/97 to Present</w:t>
      </w:r>
    </w:p>
    <w:p>
      <w:pPr>
        <w:pStyle w:val="Normal"/>
        <w:jc w:val="both"/>
        <w:rPr/>
      </w:pPr>
      <w:r>
        <w:rPr/>
      </w:r>
    </w:p>
    <w:p>
      <w:pPr>
        <w:pStyle w:val="BodyTextIndent"/>
        <w:rPr/>
      </w:pPr>
      <w:r>
        <w:rPr>
          <w:sz w:val="22"/>
          <w:u w:val="single"/>
        </w:rPr>
        <w:t>Assistant General Counsel</w:t>
      </w:r>
      <w:r>
        <w:rPr>
          <w:sz w:val="22"/>
        </w:rPr>
        <w:t>: Lead lawyer for Enron development projects in Korea, Japan and Taiwan. In January 1999 closed a $500 million joint venture between Enron and SK Corporation in South Korea to develop local gas/LPG distribution in Korea.  Provide legal oversight for the joint venture (including acquisition of additional city gas companies in Korea).  Acting counsel for EnCom Corp. (Japan), an Enron–controlled venture established to explore opportunities arising out of deregulation of the electric generation market in Japan. Engage and coordinate U.S. and local outside counsel.  Past projects include bids on a proposed electric transmission line BOOT project (Peru), a hydro-electric BOT project (Philippines), various power generation co-investments (PRC and Taiwan).</w:t>
      </w:r>
    </w:p>
    <w:p>
      <w:pPr>
        <w:pStyle w:val="Normal"/>
        <w:jc w:val="both"/>
        <w:rPr>
          <w:sz w:val="22"/>
        </w:rPr>
      </w:pPr>
      <w:r>
        <w:rPr>
          <w:sz w:val="22"/>
        </w:rPr>
      </w:r>
    </w:p>
    <w:p>
      <w:pPr>
        <w:pStyle w:val="Normal"/>
        <w:jc w:val="both"/>
        <w:rPr/>
      </w:pPr>
      <w:r>
        <w:rPr>
          <w:b/>
          <w:i/>
        </w:rPr>
        <w:t>REBOUL, MACMURRAY, HEWITT, MAYNARD &amp; KRISTOL</w:t>
      </w:r>
      <w:r>
        <w:rPr/>
        <w:t>, New York</w:t>
      </w:r>
    </w:p>
    <w:p>
      <w:pPr>
        <w:pStyle w:val="Normal"/>
        <w:jc w:val="both"/>
        <w:rPr/>
      </w:pPr>
      <w:r>
        <w:rPr/>
        <w:t>7/90 to 6/97</w:t>
      </w:r>
    </w:p>
    <w:p>
      <w:pPr>
        <w:pStyle w:val="Normal"/>
        <w:jc w:val="both"/>
        <w:rPr/>
      </w:pPr>
      <w:r>
        <w:rPr/>
      </w:r>
    </w:p>
    <w:p>
      <w:pPr>
        <w:pStyle w:val="Normal"/>
        <w:ind w:start="720" w:end="0"/>
        <w:jc w:val="both"/>
        <w:rPr/>
      </w:pPr>
      <w:r>
        <w:rPr>
          <w:sz w:val="22"/>
          <w:u w:val="single"/>
        </w:rPr>
        <w:t>Associate, Corporate Department</w:t>
      </w:r>
      <w:r>
        <w:rPr>
          <w:sz w:val="22"/>
        </w:rPr>
        <w:t>: Represented commercial banks, investment banks, venture capital limited partnerships and private companies.  Transactional practice included negotiating and documenting commercial loans and other secured transactions, mergers and acquisitions (stock and asset sales), venture capital investments and financing, debt and equity restructuring and general corporate representation.</w:t>
      </w:r>
    </w:p>
    <w:p>
      <w:pPr>
        <w:pStyle w:val="Normal"/>
        <w:ind w:start="720" w:end="0"/>
        <w:jc w:val="both"/>
        <w:rPr>
          <w:sz w:val="22"/>
          <w:u w:val="single"/>
        </w:rPr>
      </w:pPr>
      <w:r>
        <w:rPr>
          <w:sz w:val="22"/>
          <w:u w:val="single"/>
        </w:rPr>
      </w:r>
    </w:p>
    <w:p>
      <w:pPr>
        <w:pStyle w:val="Normal"/>
        <w:jc w:val="both"/>
        <w:rPr/>
      </w:pPr>
      <w:r>
        <w:rPr>
          <w:b/>
          <w:i/>
        </w:rPr>
        <w:t>MILBANK, TWEED, HADLEY &amp; MCCLOY</w:t>
      </w:r>
      <w:r>
        <w:rPr/>
        <w:t>, New York</w:t>
      </w:r>
    </w:p>
    <w:p>
      <w:pPr>
        <w:pStyle w:val="Normal"/>
        <w:jc w:val="both"/>
        <w:rPr/>
      </w:pPr>
      <w:r>
        <w:rPr/>
        <w:t>10/87 to 6/90</w:t>
      </w:r>
    </w:p>
    <w:p>
      <w:pPr>
        <w:pStyle w:val="Normal"/>
        <w:jc w:val="both"/>
        <w:rPr/>
      </w:pPr>
      <w:r>
        <w:rPr/>
      </w:r>
    </w:p>
    <w:p>
      <w:pPr>
        <w:pStyle w:val="Normal"/>
        <w:ind w:start="720" w:end="0"/>
        <w:jc w:val="both"/>
        <w:rPr/>
      </w:pPr>
      <w:r>
        <w:rPr>
          <w:sz w:val="22"/>
          <w:u w:val="single"/>
        </w:rPr>
        <w:t>Associate, Capital Markets Group</w:t>
      </w:r>
      <w:r>
        <w:rPr>
          <w:sz w:val="22"/>
        </w:rPr>
        <w:t>:  Represented the New York Stock Exchange, Inc. on 1934 Act matters, including drafting stock and options trading rules for new products (such as index options and “basket” trading of NYSE stocks) and preparing related SEC filings, analyzing new market initiatives and regulations, drafting NYSE comments on the same and counseling the NYSE on general corporate matters.</w:t>
      </w:r>
    </w:p>
    <w:p>
      <w:pPr>
        <w:pStyle w:val="Normal"/>
        <w:ind w:start="720" w:end="0"/>
        <w:jc w:val="both"/>
        <w:rPr>
          <w:sz w:val="22"/>
          <w:u w:val="single"/>
        </w:rPr>
      </w:pPr>
      <w:r>
        <w:rPr>
          <w:sz w:val="22"/>
          <w:u w:val="single"/>
        </w:rPr>
      </w:r>
    </w:p>
    <w:p>
      <w:pPr>
        <w:pStyle w:val="Normal"/>
        <w:jc w:val="both"/>
        <w:rPr/>
      </w:pPr>
      <w:r>
        <w:rPr>
          <w:b/>
          <w:i/>
        </w:rPr>
        <w:t>KAPLAN, RUSSIN &amp; VECCHI</w:t>
      </w:r>
      <w:r>
        <w:rPr/>
        <w:t>, Washington, D.C.</w:t>
      </w:r>
    </w:p>
    <w:p>
      <w:pPr>
        <w:pStyle w:val="Normal"/>
        <w:jc w:val="both"/>
        <w:rPr/>
      </w:pPr>
      <w:r>
        <w:rPr/>
        <w:t>10/85 to 9/87</w:t>
      </w:r>
    </w:p>
    <w:p>
      <w:pPr>
        <w:pStyle w:val="Normal"/>
        <w:jc w:val="both"/>
        <w:rPr/>
      </w:pPr>
      <w:r>
        <w:rPr/>
      </w:r>
    </w:p>
    <w:p>
      <w:pPr>
        <w:pStyle w:val="Normal"/>
        <w:ind w:start="720" w:end="0"/>
        <w:jc w:val="both"/>
        <w:rPr/>
      </w:pPr>
      <w:r>
        <w:rPr>
          <w:sz w:val="22"/>
          <w:u w:val="single"/>
        </w:rPr>
        <w:t>Associate</w:t>
      </w:r>
      <w:r>
        <w:rPr>
          <w:sz w:val="22"/>
        </w:rPr>
        <w:t>:  Worked on international trade cases before the International Trade Commission, antitrust and corporate litigation, and domestic and international business transactions.</w:t>
      </w:r>
    </w:p>
    <w:p>
      <w:pPr>
        <w:pStyle w:val="Normal"/>
        <w:ind w:start="720" w:end="0"/>
        <w:jc w:val="both"/>
        <w:rPr>
          <w:sz w:val="22"/>
          <w:u w:val="single"/>
        </w:rPr>
      </w:pPr>
      <w:r>
        <w:rPr>
          <w:sz w:val="22"/>
          <w:u w:val="single"/>
        </w:rPr>
      </w:r>
    </w:p>
    <w:p>
      <w:pPr>
        <w:pStyle w:val="Normal"/>
        <w:ind w:start="720" w:end="0"/>
        <w:jc w:val="both"/>
        <w:rPr>
          <w:u w:val="single"/>
        </w:rPr>
      </w:pPr>
      <w:r>
        <w:rPr>
          <w:u w:val="single"/>
        </w:rPr>
      </w:r>
    </w:p>
    <w:p>
      <w:pPr>
        <w:pStyle w:val="Normal"/>
        <w:ind w:start="720" w:end="0"/>
        <w:jc w:val="both"/>
        <w:rPr>
          <w:u w:val="single"/>
        </w:rPr>
      </w:pPr>
      <w:r>
        <w:rPr>
          <w:u w:val="single"/>
        </w:rPr>
      </w:r>
    </w:p>
    <w:p>
      <w:pPr>
        <w:pStyle w:val="Normal"/>
        <w:ind w:start="720" w:end="0"/>
        <w:jc w:val="end"/>
        <w:rPr/>
      </w:pPr>
      <w:r>
        <w:rPr/>
        <w:t>Bonnie G. Nelson</w:t>
      </w:r>
    </w:p>
    <w:p>
      <w:pPr>
        <w:pStyle w:val="Normal"/>
        <w:ind w:start="720" w:end="0"/>
        <w:jc w:val="end"/>
        <w:rPr/>
      </w:pPr>
      <w:r>
        <w:rPr/>
        <w:t>Page 2</w:t>
      </w:r>
    </w:p>
    <w:p>
      <w:pPr>
        <w:pStyle w:val="Normal"/>
        <w:ind w:start="720" w:end="0"/>
        <w:jc w:val="center"/>
        <w:rPr/>
      </w:pPr>
      <w:r>
        <w:rPr/>
      </w:r>
    </w:p>
    <w:p>
      <w:pPr>
        <w:pStyle w:val="Heading1"/>
        <w:ind w:hanging="0" w:start="0"/>
        <w:rPr/>
      </w:pPr>
      <w:r>
        <w:rPr/>
        <w:t>EDUCATION</w:t>
      </w:r>
    </w:p>
    <w:p>
      <w:pPr>
        <w:pStyle w:val="Normal"/>
        <w:jc w:val="both"/>
        <w:rPr>
          <w:b/>
          <w:u w:val="single"/>
        </w:rPr>
      </w:pPr>
      <w:r>
        <w:rPr>
          <w:b/>
          <w:u w:val="single"/>
        </w:rPr>
      </w:r>
    </w:p>
    <w:p>
      <w:pPr>
        <w:pStyle w:val="Normal"/>
        <w:ind w:start="720" w:end="0"/>
        <w:jc w:val="both"/>
        <w:rPr/>
      </w:pPr>
      <w:r>
        <w:rPr>
          <w:sz w:val="22"/>
          <w:u w:val="single"/>
        </w:rPr>
        <w:t>University of Pennsylvania Law School</w:t>
      </w:r>
      <w:r>
        <w:rPr>
          <w:sz w:val="22"/>
        </w:rPr>
        <w:t>:  J.D. 1985</w:t>
      </w:r>
    </w:p>
    <w:p>
      <w:pPr>
        <w:pStyle w:val="Normal"/>
        <w:ind w:start="720" w:end="0"/>
        <w:jc w:val="both"/>
        <w:rPr>
          <w:sz w:val="22"/>
        </w:rPr>
      </w:pPr>
      <w:r>
        <w:rPr>
          <w:sz w:val="22"/>
        </w:rPr>
        <w:t>Activities: legal writing instructor</w:t>
      </w:r>
    </w:p>
    <w:p>
      <w:pPr>
        <w:pStyle w:val="Normal"/>
        <w:ind w:start="720" w:end="0"/>
        <w:jc w:val="both"/>
        <w:rPr>
          <w:sz w:val="22"/>
          <w:u w:val="single"/>
        </w:rPr>
      </w:pPr>
      <w:r>
        <w:rPr>
          <w:sz w:val="22"/>
          <w:u w:val="single"/>
        </w:rPr>
      </w:r>
    </w:p>
    <w:p>
      <w:pPr>
        <w:pStyle w:val="Normal"/>
        <w:ind w:start="720" w:end="0"/>
        <w:jc w:val="both"/>
        <w:rPr/>
      </w:pPr>
      <w:r>
        <w:rPr>
          <w:sz w:val="22"/>
          <w:u w:val="single"/>
        </w:rPr>
        <w:t>University of Wisconsin, Madison</w:t>
      </w:r>
      <w:r>
        <w:rPr>
          <w:sz w:val="22"/>
        </w:rPr>
        <w:t>:  Ph.D. program, English Literature, 1971 to 1972</w:t>
      </w:r>
    </w:p>
    <w:p>
      <w:pPr>
        <w:pStyle w:val="Normal"/>
        <w:ind w:start="720" w:end="0"/>
        <w:jc w:val="both"/>
        <w:rPr>
          <w:sz w:val="22"/>
          <w:u w:val="single"/>
        </w:rPr>
      </w:pPr>
      <w:r>
        <w:rPr>
          <w:sz w:val="22"/>
          <w:u w:val="single"/>
        </w:rPr>
      </w:r>
    </w:p>
    <w:p>
      <w:pPr>
        <w:pStyle w:val="Normal"/>
        <w:ind w:start="720" w:end="0"/>
        <w:jc w:val="both"/>
        <w:rPr/>
      </w:pPr>
      <w:r>
        <w:rPr>
          <w:sz w:val="22"/>
          <w:u w:val="single"/>
        </w:rPr>
        <w:t>Brown University</w:t>
      </w:r>
      <w:r>
        <w:rPr>
          <w:sz w:val="22"/>
        </w:rPr>
        <w:t>:  M.A.T., 1971, English Literature and Education</w:t>
      </w:r>
    </w:p>
    <w:p>
      <w:pPr>
        <w:pStyle w:val="Normal"/>
        <w:ind w:start="720" w:end="0"/>
        <w:jc w:val="both"/>
        <w:rPr>
          <w:sz w:val="22"/>
          <w:u w:val="single"/>
        </w:rPr>
      </w:pPr>
      <w:r>
        <w:rPr>
          <w:sz w:val="22"/>
          <w:u w:val="single"/>
        </w:rPr>
      </w:r>
    </w:p>
    <w:p>
      <w:pPr>
        <w:pStyle w:val="Normal"/>
        <w:ind w:start="720" w:end="0"/>
        <w:jc w:val="both"/>
        <w:rPr/>
      </w:pPr>
      <w:r>
        <w:rPr>
          <w:sz w:val="22"/>
          <w:u w:val="single"/>
        </w:rPr>
        <w:t>Grinnell College, Grinnell, Iowa</w:t>
      </w:r>
      <w:r>
        <w:rPr>
          <w:sz w:val="22"/>
        </w:rPr>
        <w:t>:  B.A., 1969, English Literature</w:t>
      </w:r>
    </w:p>
    <w:p>
      <w:pPr>
        <w:pStyle w:val="BodyTextIndent"/>
        <w:rPr>
          <w:sz w:val="22"/>
        </w:rPr>
      </w:pPr>
      <w:r>
        <w:rPr>
          <w:sz w:val="22"/>
        </w:rPr>
        <w:t>Junior Year Abroad at the University of Manchester, U.K.</w:t>
      </w:r>
    </w:p>
    <w:p>
      <w:pPr>
        <w:pStyle w:val="Heading2"/>
        <w:ind w:start="0" w:end="0"/>
        <w:rPr/>
      </w:pPr>
      <w:r>
        <w:rPr/>
      </w:r>
    </w:p>
    <w:p>
      <w:pPr>
        <w:pStyle w:val="Heading1"/>
        <w:ind w:hanging="0" w:start="0"/>
        <w:rPr/>
      </w:pPr>
      <w:r>
        <w:rPr/>
        <w:t>OTHER WORK EXPERIENCE</w:t>
      </w:r>
    </w:p>
    <w:p>
      <w:pPr>
        <w:pStyle w:val="Normal"/>
        <w:jc w:val="both"/>
        <w:rPr>
          <w:b/>
          <w:u w:val="single"/>
        </w:rPr>
      </w:pPr>
      <w:r>
        <w:rPr>
          <w:b/>
          <w:u w:val="single"/>
        </w:rPr>
      </w:r>
    </w:p>
    <w:p>
      <w:pPr>
        <w:pStyle w:val="Heading2"/>
        <w:rPr/>
      </w:pPr>
      <w:r>
        <w:rPr/>
        <w:t>Editor</w:t>
      </w:r>
    </w:p>
    <w:p>
      <w:pPr>
        <w:pStyle w:val="Normal"/>
        <w:jc w:val="both"/>
        <w:rPr/>
      </w:pPr>
      <w:r>
        <w:rPr/>
      </w:r>
    </w:p>
    <w:p>
      <w:pPr>
        <w:pStyle w:val="Normal"/>
        <w:ind w:start="1440" w:end="0"/>
        <w:jc w:val="both"/>
        <w:rPr/>
      </w:pPr>
      <w:r>
        <w:rPr>
          <w:sz w:val="22"/>
          <w:u w:val="single"/>
        </w:rPr>
        <w:t>Kodansha Encyclopedia of Japan</w:t>
      </w:r>
      <w:r>
        <w:rPr>
          <w:sz w:val="22"/>
        </w:rPr>
        <w:t xml:space="preserve">  Nine-volume encyclopedia on Japan; editorial offices in Cambridge, Massachusetts, Department of East Asian Languages and Civilizations, Harvard University, 1975 to 1981</w:t>
      </w:r>
    </w:p>
    <w:p>
      <w:pPr>
        <w:pStyle w:val="Normal"/>
        <w:ind w:start="1440" w:end="0"/>
        <w:jc w:val="both"/>
        <w:rPr>
          <w:sz w:val="22"/>
          <w:u w:val="single"/>
        </w:rPr>
      </w:pPr>
      <w:r>
        <w:rPr>
          <w:sz w:val="22"/>
          <w:u w:val="single"/>
        </w:rPr>
      </w:r>
    </w:p>
    <w:p>
      <w:pPr>
        <w:pStyle w:val="Normal"/>
        <w:ind w:start="1440" w:end="0"/>
        <w:jc w:val="both"/>
        <w:rPr/>
      </w:pPr>
      <w:r>
        <w:rPr>
          <w:sz w:val="22"/>
          <w:u w:val="single"/>
        </w:rPr>
        <w:t>The Japan Interpreter</w:t>
      </w:r>
      <w:r>
        <w:rPr>
          <w:sz w:val="22"/>
        </w:rPr>
        <w:t xml:space="preserve">  Journal of social sciences; published quarterly in Tokyo, 1974 to 1975</w:t>
      </w:r>
    </w:p>
    <w:p>
      <w:pPr>
        <w:pStyle w:val="Normal"/>
        <w:ind w:start="1440" w:end="0"/>
        <w:jc w:val="both"/>
        <w:rPr>
          <w:sz w:val="22"/>
          <w:u w:val="single"/>
        </w:rPr>
      </w:pPr>
      <w:r>
        <w:rPr>
          <w:sz w:val="22"/>
          <w:u w:val="single"/>
        </w:rPr>
      </w:r>
    </w:p>
    <w:p>
      <w:pPr>
        <w:pStyle w:val="Heading2"/>
        <w:rPr/>
      </w:pPr>
      <w:r>
        <w:rPr/>
        <w:t xml:space="preserve">English Teacher </w:t>
      </w:r>
    </w:p>
    <w:p>
      <w:pPr>
        <w:pStyle w:val="Normal"/>
        <w:ind w:start="720" w:end="0"/>
        <w:jc w:val="both"/>
        <w:rPr/>
      </w:pPr>
      <w:r>
        <w:rPr/>
      </w:r>
    </w:p>
    <w:p>
      <w:pPr>
        <w:pStyle w:val="Normal"/>
        <w:ind w:start="1440" w:end="0"/>
        <w:jc w:val="both"/>
        <w:rPr>
          <w:sz w:val="22"/>
        </w:rPr>
      </w:pPr>
      <w:r>
        <w:rPr>
          <w:sz w:val="22"/>
        </w:rPr>
        <w:t>Doshisha Women’s College, Kyoto, Japan, 1973 to 1974</w:t>
      </w:r>
    </w:p>
    <w:p>
      <w:pPr>
        <w:pStyle w:val="Normal"/>
        <w:ind w:start="1440" w:end="0"/>
        <w:jc w:val="both"/>
        <w:rPr>
          <w:sz w:val="22"/>
        </w:rPr>
      </w:pPr>
      <w:r>
        <w:rPr>
          <w:sz w:val="22"/>
        </w:rPr>
      </w:r>
    </w:p>
    <w:p>
      <w:pPr>
        <w:pStyle w:val="Normal"/>
        <w:ind w:start="1440" w:end="0"/>
        <w:jc w:val="both"/>
        <w:rPr>
          <w:sz w:val="22"/>
        </w:rPr>
      </w:pPr>
      <w:r>
        <w:rPr>
          <w:sz w:val="22"/>
        </w:rPr>
        <w:t>Fellowship from the Japan-America Society of Washington, D.C. and the College Women’s Association of Japan, for teaching in Kumamoto Prefecture, Japan, 1972 to 1973</w:t>
      </w:r>
    </w:p>
    <w:p>
      <w:pPr>
        <w:pStyle w:val="Normal"/>
        <w:ind w:start="1440" w:end="0"/>
        <w:jc w:val="both"/>
        <w:rPr>
          <w:sz w:val="22"/>
        </w:rPr>
      </w:pPr>
      <w:r>
        <w:rPr>
          <w:sz w:val="22"/>
        </w:rPr>
      </w:r>
    </w:p>
    <w:p>
      <w:pPr>
        <w:pStyle w:val="Heading1"/>
        <w:ind w:hanging="0" w:start="0"/>
        <w:rPr/>
      </w:pPr>
      <w:r>
        <w:rPr/>
        <w:t>LANGUAGES</w:t>
      </w:r>
    </w:p>
    <w:p>
      <w:pPr>
        <w:pStyle w:val="Normal"/>
        <w:jc w:val="both"/>
        <w:rPr/>
      </w:pPr>
      <w:r>
        <w:rPr/>
      </w:r>
    </w:p>
    <w:p>
      <w:pPr>
        <w:pStyle w:val="BodyTextIndent"/>
        <w:rPr>
          <w:sz w:val="22"/>
        </w:rPr>
      </w:pPr>
      <w:r>
        <w:rPr>
          <w:sz w:val="22"/>
        </w:rPr>
        <w:t xml:space="preserve">Japanese </w:t>
      </w:r>
    </w:p>
    <w:p>
      <w:pPr>
        <w:pStyle w:val="Normal"/>
        <w:ind w:start="720" w:end="0"/>
        <w:jc w:val="both"/>
        <w:rPr>
          <w:sz w:val="22"/>
        </w:rPr>
      </w:pPr>
      <w:r>
        <w:rPr>
          <w:sz w:val="22"/>
        </w:rPr>
      </w:r>
    </w:p>
    <w:p>
      <w:pPr>
        <w:pStyle w:val="Heading1"/>
        <w:ind w:hanging="0" w:start="0"/>
        <w:rPr/>
      </w:pPr>
      <w:r>
        <w:rPr/>
        <w:t>ADMITTED TO BAR</w:t>
      </w:r>
    </w:p>
    <w:p>
      <w:pPr>
        <w:pStyle w:val="Normal"/>
        <w:jc w:val="both"/>
        <w:rPr>
          <w:b/>
          <w:u w:val="single"/>
        </w:rPr>
      </w:pPr>
      <w:r>
        <w:rPr>
          <w:b/>
          <w:u w:val="single"/>
        </w:rPr>
      </w:r>
    </w:p>
    <w:p>
      <w:pPr>
        <w:pStyle w:val="BodyTextIndent"/>
        <w:rPr>
          <w:sz w:val="22"/>
        </w:rPr>
      </w:pPr>
      <w:r>
        <w:rPr>
          <w:sz w:val="22"/>
        </w:rPr>
        <w:t>New York, 1986</w:t>
      </w:r>
    </w:p>
    <w:p>
      <w:pPr>
        <w:pStyle w:val="BodyTextIndent"/>
        <w:rPr>
          <w:sz w:val="22"/>
        </w:rPr>
      </w:pPr>
      <w:r>
        <w:rPr>
          <w:sz w:val="22"/>
        </w:rPr>
        <w:t>District of Columbia, 1987 (inactive status)</w:t>
      </w:r>
    </w:p>
    <w:p>
      <w:pPr>
        <w:pStyle w:val="Normal"/>
        <w:ind w:start="720" w:end="0"/>
        <w:jc w:val="both"/>
        <w:rPr>
          <w:sz w:val="22"/>
        </w:rPr>
      </w:pPr>
      <w:r>
        <w:rPr>
          <w:sz w:val="22"/>
        </w:rPr>
      </w:r>
    </w:p>
    <w:p>
      <w:pPr>
        <w:pStyle w:val="Heading1"/>
        <w:ind w:hanging="0" w:start="0"/>
        <w:rPr/>
      </w:pPr>
      <w:r>
        <w:rPr/>
        <w:t>MEMBERSHIPS</w:t>
      </w:r>
    </w:p>
    <w:p>
      <w:pPr>
        <w:pStyle w:val="Normal"/>
        <w:jc w:val="both"/>
        <w:rPr>
          <w:b/>
          <w:u w:val="single"/>
        </w:rPr>
      </w:pPr>
      <w:r>
        <w:rPr>
          <w:b/>
          <w:u w:val="single"/>
        </w:rPr>
      </w:r>
    </w:p>
    <w:p>
      <w:pPr>
        <w:pStyle w:val="Normal"/>
        <w:ind w:start="720" w:end="0"/>
        <w:jc w:val="both"/>
        <w:rPr>
          <w:sz w:val="22"/>
        </w:rPr>
      </w:pPr>
      <w:r>
        <w:rPr>
          <w:sz w:val="22"/>
        </w:rPr>
        <w:t xml:space="preserve">Houston Bar Association </w:t>
      </w:r>
    </w:p>
    <w:p>
      <w:pPr>
        <w:pStyle w:val="Normal"/>
        <w:ind w:start="720" w:end="0"/>
        <w:jc w:val="both"/>
        <w:rPr>
          <w:sz w:val="22"/>
        </w:rPr>
      </w:pPr>
      <w:r>
        <w:rPr>
          <w:sz w:val="22"/>
        </w:rPr>
        <w:t>American Bar Association</w:t>
      </w:r>
    </w:p>
    <w:p>
      <w:pPr>
        <w:pStyle w:val="Normal"/>
        <w:ind w:start="720" w:end="0"/>
        <w:jc w:val="both"/>
        <w:rPr>
          <w:sz w:val="22"/>
        </w:rPr>
      </w:pPr>
      <w:r>
        <w:rPr>
          <w:sz w:val="22"/>
        </w:rPr>
        <w:t>The District of Columbia Bar (inactive)</w:t>
      </w:r>
    </w:p>
    <w:sectPr>
      <w:headerReference w:type="default" r:id="rId2"/>
      <w:type w:val="nextPage"/>
      <w:pgSz w:w="12240" w:h="15840"/>
      <w:pgMar w:left="1584" w:right="1584"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both"/>
      <w:outlineLvl w:val="0"/>
    </w:pPr>
    <w:rPr>
      <w:b/>
      <w:u w:val="single"/>
    </w:rPr>
  </w:style>
  <w:style w:type="paragraph" w:styleId="Heading2">
    <w:name w:val="heading 2"/>
    <w:basedOn w:val="Normal"/>
    <w:next w:val="Normal"/>
    <w:qFormat/>
    <w:pPr>
      <w:keepNext w:val="true"/>
      <w:numPr>
        <w:ilvl w:val="1"/>
        <w:numId w:val="1"/>
      </w:numPr>
      <w:ind w:hanging="0" w:start="720" w:end="0"/>
      <w:jc w:val="both"/>
      <w:outlineLvl w:val="1"/>
    </w:pPr>
    <w:rPr>
      <w:u w:val="single"/>
    </w:rPr>
  </w:style>
  <w:style w:type="paragraph" w:styleId="Heading3">
    <w:name w:val="heading 3"/>
    <w:basedOn w:val="Normal"/>
    <w:next w:val="Normal"/>
    <w:qFormat/>
    <w:pPr>
      <w:keepNext w:val="true"/>
      <w:numPr>
        <w:ilvl w:val="2"/>
        <w:numId w:val="1"/>
      </w:numPr>
      <w:jc w:val="both"/>
      <w:outlineLvl w:val="2"/>
    </w:pPr>
    <w:rPr>
      <w:b/>
      <w:i/>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2000-10-09T12:38:00Z</dcterms:created>
  <dc:creator>dwallac</dc:creator>
  <dc:description/>
  <dc:language>en-CA</dc:language>
  <cp:lastModifiedBy>bnelson</cp:lastModifiedBy>
  <cp:lastPrinted>2000-10-09T10:07:00Z</cp:lastPrinted>
  <dcterms:modified xsi:type="dcterms:W3CDTF">2000-10-09T13:29:00Z</dcterms:modified>
  <cp:revision>3</cp:revision>
  <dc:subject/>
  <dc:title>BONNIE G</dc:title>
</cp:coreProperties>
</file>