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2000 Eisenhower Fellow</w:t>
      </w:r>
    </w:p>
    <w:p>
      <w:pPr>
        <w:pStyle w:val="Normal"/>
        <w:jc w:val="center"/>
        <w:rPr>
          <w:b/>
        </w:rPr>
      </w:pPr>
      <w:r>
        <w:rPr>
          <w:b/>
        </w:rPr>
        <w:t>India</w:t>
      </w:r>
    </w:p>
    <w:p>
      <w:pPr>
        <w:pStyle w:val="Normal"/>
        <w:rPr>
          <w:b/>
        </w:rPr>
      </w:pPr>
      <w:r>
        <w:rPr>
          <w:b/>
        </w:rPr>
      </w:r>
    </w:p>
    <w:p>
      <w:pPr>
        <w:pStyle w:val="Heading1"/>
        <w:ind w:start="0" w:end="0"/>
        <w:rPr>
          <w:rFonts w:ascii="Times New Roman" w:hAnsi="Times New Roman" w:cs="Times New Roman"/>
          <w:i w:val="false"/>
          <w:i w:val="false"/>
          <w:sz w:val="22"/>
        </w:rPr>
      </w:pPr>
      <w:r>
        <w:rPr>
          <w:rFonts w:cs="Times New Roman" w:ascii="Times New Roman" w:hAnsi="Times New Roman"/>
          <w:i w:val="false"/>
          <w:sz w:val="22"/>
        </w:rPr>
        <w:t>Jawed Usmani</w:t>
        <w:tab/>
        <w:tab/>
        <w:tab/>
        <w:tab/>
        <w:tab/>
        <w:tab/>
        <w:tab/>
        <w:tab/>
        <w:t xml:space="preserve">                    Age: 44</w:t>
      </w:r>
    </w:p>
    <w:p>
      <w:pPr>
        <w:pStyle w:val="Normal"/>
        <w:rPr>
          <w:b/>
          <w:sz w:val="22"/>
        </w:rPr>
      </w:pPr>
      <w:r>
        <w:rPr>
          <w:b/>
          <w:sz w:val="22"/>
        </w:rPr>
        <w:t>Joint Secretary</w:t>
      </w:r>
    </w:p>
    <w:p>
      <w:pPr>
        <w:pStyle w:val="Normal"/>
        <w:rPr>
          <w:b/>
          <w:sz w:val="22"/>
        </w:rPr>
      </w:pPr>
      <w:r>
        <w:rPr>
          <w:b/>
          <w:sz w:val="22"/>
        </w:rPr>
        <w:t>Prime Minister’s Office</w:t>
      </w:r>
    </w:p>
    <w:p>
      <w:pPr>
        <w:pStyle w:val="Normal"/>
        <w:rPr>
          <w:b/>
          <w:sz w:val="22"/>
        </w:rPr>
      </w:pPr>
      <w:r>
        <w:rPr>
          <w:b/>
          <w:sz w:val="22"/>
        </w:rPr>
        <w:t>South Block</w:t>
      </w:r>
    </w:p>
    <w:p>
      <w:pPr>
        <w:pStyle w:val="Normal"/>
        <w:rPr>
          <w:b/>
          <w:sz w:val="22"/>
        </w:rPr>
      </w:pPr>
      <w:r>
        <w:rPr>
          <w:b/>
          <w:sz w:val="22"/>
        </w:rPr>
        <w:t>New Delhi  110 011</w:t>
      </w:r>
    </w:p>
    <w:p>
      <w:pPr>
        <w:pStyle w:val="Normal"/>
        <w:rPr>
          <w:b/>
        </w:rPr>
      </w:pPr>
      <w:r>
        <w:rPr>
          <w:b/>
          <w:sz w:val="22"/>
        </w:rPr>
        <w:t>INDIA</w:t>
        <w:tab/>
        <w:tab/>
        <w:tab/>
        <w:tab/>
        <w:tab/>
        <w:tab/>
        <w:tab/>
        <w:tab/>
        <w:t xml:space="preserve">               English: Excellent</w:t>
      </w:r>
    </w:p>
    <w:p>
      <w:pPr>
        <w:pStyle w:val="Normal"/>
        <w:pBdr>
          <w:top w:val="threeDEmboss" w:sz="24" w:space="1" w:color="000000"/>
        </w:pBdr>
        <w:spacing w:lineRule="auto" w:line="120"/>
        <w:jc w:val="both"/>
        <w:rPr>
          <w:b/>
          <w:i/>
          <w:i/>
        </w:rPr>
      </w:pPr>
      <w:r>
        <w:rPr>
          <w:b/>
          <w:i/>
        </w:rPr>
      </w:r>
    </w:p>
    <w:p>
      <w:pPr>
        <w:pStyle w:val="BodyText"/>
        <w:spacing w:lineRule="auto" w:line="240"/>
        <w:jc w:val="both"/>
        <w:rPr>
          <w:i/>
          <w:i/>
          <w:sz w:val="22"/>
        </w:rPr>
      </w:pPr>
      <w:r>
        <w:rPr>
          <w:i/>
          <w:sz w:val="22"/>
        </w:rPr>
        <w:t xml:space="preserve">Mr. Usmani advises and assists the Prime Minister in decision-making on economic issues, particularly those relating to the Ministries of Finance, Industry, Commerce, Surface Transport and Communications.  He also services the Task Force on Infrastructure and the Group on Telecom constituted by the Prime Minister and charged with formulating national transportation and telecommunications policies. Mr. Usmani  has gained valuable experience at national policy formulation on economic reforms including public sector restructuring and disinvestment, and tax reform for industrial growth.  As infrastructure bottlenecks are a key constraint to economic growth in India today, for which private sector participation in creating and maintaining infrastructure is essential, Mr. Usmani looks to gain knowledge and expertise in policy formulation for implementing and regulating private provisioning of infrastructure. </w:t>
      </w:r>
    </w:p>
    <w:p>
      <w:pPr>
        <w:pStyle w:val="Normal"/>
        <w:jc w:val="both"/>
        <w:rPr>
          <w:b/>
          <w:i/>
          <w:i/>
          <w:sz w:val="22"/>
        </w:rPr>
      </w:pPr>
      <w:r>
        <w:rPr>
          <w:b/>
          <w:i/>
          <w:sz w:val="22"/>
        </w:rPr>
      </w:r>
    </w:p>
    <w:p>
      <w:pPr>
        <w:pStyle w:val="Normal"/>
        <w:jc w:val="both"/>
        <w:rPr>
          <w:sz w:val="22"/>
        </w:rPr>
      </w:pPr>
      <w:r>
        <w:rPr>
          <w:b/>
          <w:sz w:val="22"/>
        </w:rPr>
        <w:t>Present Position</w:t>
      </w:r>
      <w:r>
        <w:rPr>
          <w:sz w:val="22"/>
        </w:rPr>
        <w:tab/>
        <w:tab/>
      </w:r>
      <w:r>
        <w:rPr>
          <w:i/>
          <w:sz w:val="22"/>
        </w:rPr>
        <w:t>Joint Secretary to the Prime Minister   (Since Dec., 1997)</w:t>
      </w:r>
    </w:p>
    <w:p>
      <w:pPr>
        <w:pStyle w:val="Normal"/>
        <w:jc w:val="both"/>
        <w:rPr>
          <w:sz w:val="22"/>
        </w:rPr>
      </w:pPr>
      <w:r>
        <w:rPr>
          <w:sz w:val="22"/>
        </w:rPr>
        <w:tab/>
        <w:tab/>
        <w:tab/>
        <w:tab/>
        <w:tab/>
        <w:t>Government of India</w:t>
      </w:r>
    </w:p>
    <w:p>
      <w:pPr>
        <w:pStyle w:val="Normal"/>
        <w:jc w:val="both"/>
        <w:rPr>
          <w:sz w:val="22"/>
        </w:rPr>
      </w:pPr>
      <w:r>
        <w:rPr>
          <w:sz w:val="22"/>
        </w:rPr>
      </w:r>
    </w:p>
    <w:p>
      <w:pPr>
        <w:pStyle w:val="Normal"/>
        <w:ind w:hanging="2880" w:start="2880" w:end="0"/>
        <w:jc w:val="both"/>
        <w:rPr/>
      </w:pPr>
      <w:r>
        <w:rPr>
          <w:b/>
          <w:sz w:val="22"/>
        </w:rPr>
        <w:t>Responsibilities</w:t>
      </w:r>
      <w:r>
        <w:rPr>
          <w:sz w:val="22"/>
        </w:rPr>
        <w:tab/>
        <w:t>Advise and assist the Prime Minister on issues related to economic policy; service the Task Force on Infrastructure and the Group on Telecommunications constituted by the Prime Minister to formulate a national transport policy and national telecom policy.</w:t>
      </w:r>
    </w:p>
    <w:p>
      <w:pPr>
        <w:pStyle w:val="Normal"/>
        <w:jc w:val="both"/>
        <w:rPr>
          <w:sz w:val="22"/>
        </w:rPr>
      </w:pPr>
      <w:r>
        <w:rPr>
          <w:sz w:val="22"/>
        </w:rPr>
      </w:r>
    </w:p>
    <w:p>
      <w:pPr>
        <w:pStyle w:val="Normal"/>
        <w:ind w:hanging="2880" w:start="2880" w:end="0"/>
        <w:jc w:val="both"/>
        <w:rPr/>
      </w:pPr>
      <w:r>
        <w:rPr>
          <w:b/>
          <w:sz w:val="22"/>
        </w:rPr>
        <w:t>Previous Position</w:t>
      </w:r>
      <w:r>
        <w:rPr>
          <w:sz w:val="22"/>
        </w:rPr>
        <w:tab/>
      </w:r>
      <w:r>
        <w:rPr>
          <w:i/>
          <w:sz w:val="22"/>
        </w:rPr>
        <w:t>Director</w:t>
      </w:r>
      <w:r>
        <w:rPr>
          <w:sz w:val="22"/>
        </w:rPr>
        <w:t>, Prime Minister’s Office (from Aug., 1996 to Dec., 1997)</w:t>
      </w:r>
    </w:p>
    <w:p>
      <w:pPr>
        <w:pStyle w:val="Normal"/>
        <w:jc w:val="both"/>
        <w:rPr>
          <w:sz w:val="22"/>
        </w:rPr>
      </w:pPr>
      <w:r>
        <w:rPr>
          <w:sz w:val="22"/>
        </w:rPr>
      </w:r>
    </w:p>
    <w:p>
      <w:pPr>
        <w:pStyle w:val="Normal"/>
        <w:jc w:val="both"/>
        <w:rPr/>
      </w:pPr>
      <w:r>
        <w:rPr>
          <w:b/>
          <w:sz w:val="22"/>
        </w:rPr>
        <w:t>Education</w:t>
      </w:r>
      <w:r>
        <w:rPr>
          <w:sz w:val="22"/>
        </w:rPr>
        <w:tab/>
        <w:tab/>
        <w:tab/>
        <w:t>London School of Economics, London, England</w:t>
      </w:r>
    </w:p>
    <w:p>
      <w:pPr>
        <w:pStyle w:val="Normal"/>
        <w:jc w:val="both"/>
        <w:rPr/>
      </w:pPr>
      <w:r>
        <w:rPr>
          <w:sz w:val="22"/>
        </w:rPr>
        <w:tab/>
        <w:tab/>
        <w:tab/>
        <w:tab/>
        <w:tab/>
      </w:r>
      <w:r>
        <w:rPr>
          <w:i/>
          <w:sz w:val="22"/>
        </w:rPr>
        <w:t>M.Sc. in Social Policy &amp; Planning; awarded 1991</w:t>
      </w:r>
    </w:p>
    <w:p>
      <w:pPr>
        <w:pStyle w:val="Normal"/>
        <w:jc w:val="both"/>
        <w:rPr>
          <w:sz w:val="22"/>
        </w:rPr>
      </w:pPr>
      <w:r>
        <w:rPr>
          <w:sz w:val="22"/>
        </w:rPr>
        <w:tab/>
        <w:tab/>
        <w:tab/>
        <w:tab/>
        <w:t>Indian Institute of Management, Ahmedabad, India</w:t>
      </w:r>
    </w:p>
    <w:p>
      <w:pPr>
        <w:pStyle w:val="Normal"/>
        <w:jc w:val="both"/>
        <w:rPr/>
      </w:pPr>
      <w:r>
        <w:rPr>
          <w:sz w:val="22"/>
        </w:rPr>
        <w:tab/>
        <w:tab/>
        <w:tab/>
        <w:tab/>
        <w:tab/>
      </w:r>
      <w:r>
        <w:rPr>
          <w:i/>
          <w:sz w:val="22"/>
        </w:rPr>
        <w:t>MBA; awarded 1976</w:t>
      </w:r>
    </w:p>
    <w:p>
      <w:pPr>
        <w:pStyle w:val="Normal"/>
        <w:jc w:val="both"/>
        <w:rPr>
          <w:sz w:val="22"/>
        </w:rPr>
      </w:pPr>
      <w:r>
        <w:rPr>
          <w:sz w:val="22"/>
        </w:rPr>
        <w:tab/>
        <w:tab/>
        <w:tab/>
        <w:tab/>
        <w:t>Aligarh Muslim University, Aligarh, India</w:t>
      </w:r>
    </w:p>
    <w:p>
      <w:pPr>
        <w:pStyle w:val="Normal"/>
        <w:jc w:val="both"/>
        <w:rPr/>
      </w:pPr>
      <w:r>
        <w:rPr>
          <w:sz w:val="22"/>
        </w:rPr>
        <w:tab/>
        <w:tab/>
        <w:tab/>
        <w:tab/>
        <w:tab/>
      </w:r>
      <w:r>
        <w:rPr>
          <w:i/>
          <w:sz w:val="22"/>
        </w:rPr>
        <w:t>B.Sc.; awarded 1973</w:t>
      </w:r>
    </w:p>
    <w:p>
      <w:pPr>
        <w:pStyle w:val="Normal"/>
        <w:jc w:val="both"/>
        <w:rPr>
          <w:i/>
          <w:i/>
          <w:sz w:val="22"/>
        </w:rPr>
      </w:pPr>
      <w:r>
        <w:rPr>
          <w:i/>
          <w:sz w:val="22"/>
        </w:rPr>
      </w:r>
    </w:p>
    <w:p>
      <w:pPr>
        <w:pStyle w:val="Heading2"/>
        <w:ind w:hanging="0" w:start="0"/>
        <w:jc w:val="both"/>
        <w:rPr>
          <w:rFonts w:ascii="Times New Roman" w:hAnsi="Times New Roman" w:cs="Times New Roman"/>
          <w:b/>
          <w:sz w:val="22"/>
          <w:u w:val="single"/>
        </w:rPr>
      </w:pPr>
      <w:r>
        <w:rPr>
          <w:rFonts w:cs="Times New Roman" w:ascii="Times New Roman" w:hAnsi="Times New Roman"/>
          <w:b/>
          <w:sz w:val="22"/>
          <w:u w:val="single"/>
        </w:rPr>
        <w:t>Fellowship Goals &amp; Interests</w:t>
      </w:r>
    </w:p>
    <w:p>
      <w:pPr>
        <w:pStyle w:val="Normal"/>
        <w:rPr>
          <w:rFonts w:ascii="Times New Roman" w:hAnsi="Times New Roman" w:cs="Times New Roman"/>
          <w:b/>
          <w:sz w:val="22"/>
          <w:u w:val="single"/>
        </w:rPr>
      </w:pPr>
      <w:r>
        <w:rPr>
          <w:rFonts w:cs="Times New Roman"/>
          <w:b/>
          <w:sz w:val="22"/>
          <w:u w:val="single"/>
        </w:rPr>
      </w:r>
    </w:p>
    <w:p>
      <w:pPr>
        <w:pStyle w:val="Normal"/>
        <w:numPr>
          <w:ilvl w:val="0"/>
          <w:numId w:val="2"/>
        </w:numPr>
        <w:jc w:val="both"/>
        <w:rPr>
          <w:sz w:val="22"/>
        </w:rPr>
      </w:pPr>
      <w:r>
        <w:rPr>
          <w:sz w:val="22"/>
        </w:rPr>
        <w:t>To study the pattern of public and private funding of major infrastructure projects, with a specific focus on roads and highways, telecom or power projects, in order to gain a better understanding of the modalities of private sector involvement, fixing user charges and providing effective maintenance.</w:t>
      </w:r>
    </w:p>
    <w:p>
      <w:pPr>
        <w:pStyle w:val="BodyText"/>
        <w:spacing w:lineRule="auto" w:line="240"/>
        <w:rPr>
          <w:sz w:val="22"/>
        </w:rPr>
      </w:pPr>
      <w:r>
        <w:rPr>
          <w:sz w:val="22"/>
        </w:rPr>
      </w:r>
    </w:p>
    <w:p>
      <w:pPr>
        <w:pStyle w:val="Normal"/>
        <w:numPr>
          <w:ilvl w:val="0"/>
          <w:numId w:val="3"/>
        </w:numPr>
        <w:jc w:val="both"/>
        <w:rPr>
          <w:sz w:val="22"/>
        </w:rPr>
      </w:pPr>
      <w:r>
        <w:rPr>
          <w:sz w:val="22"/>
        </w:rPr>
        <w:t>To observe the functioning of various regulatory authorities in a wide variety of sectors, including roads, ports, energy and telecommunications, in order to gain a more thorough understanding of how conflicting interests are reconciled and disputes between two or more service providers, or between service providers and customers, are settled.</w:t>
      </w:r>
    </w:p>
    <w:p>
      <w:pPr>
        <w:pStyle w:val="Normal"/>
        <w:jc w:val="both"/>
        <w:rPr>
          <w:sz w:val="22"/>
        </w:rPr>
      </w:pPr>
      <w:r>
        <w:rPr>
          <w:sz w:val="22"/>
        </w:rPr>
      </w:r>
    </w:p>
    <w:p>
      <w:pPr>
        <w:pStyle w:val="BodyText"/>
        <w:numPr>
          <w:ilvl w:val="0"/>
          <w:numId w:val="4"/>
        </w:numPr>
        <w:spacing w:lineRule="auto" w:line="240"/>
        <w:rPr>
          <w:sz w:val="22"/>
        </w:rPr>
      </w:pPr>
      <w:r>
        <w:rPr>
          <w:sz w:val="22"/>
        </w:rPr>
        <w:t>To understand the process of governance in the United States, particularly with regard to the manner in which developmental policies are initiated and implemented.</w:t>
      </w:r>
    </w:p>
    <w:p>
      <w:pPr>
        <w:pStyle w:val="Normal"/>
        <w:rPr>
          <w:sz w:val="22"/>
        </w:rPr>
      </w:pPr>
      <w:r>
        <w:rPr>
          <w:sz w:val="22"/>
        </w:rPr>
      </w:r>
    </w:p>
    <w:sectPr>
      <w:type w:val="nextPage"/>
      <w:pgSz w:w="11906" w:h="16838"/>
      <w:pgMar w:left="1800" w:right="1800" w:gutter="0" w:header="0" w:top="1440"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3"/>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720" w:end="0"/>
      <w:outlineLvl w:val="0"/>
    </w:pPr>
    <w:rPr>
      <w:rFonts w:ascii="Arial Narrow" w:hAnsi="Arial Narrow" w:cs="Arial Narrow"/>
      <w:b/>
      <w:i/>
      <w:lang w:eastAsia="en-US"/>
    </w:rPr>
  </w:style>
  <w:style w:type="paragraph" w:styleId="Heading2">
    <w:name w:val="heading 2"/>
    <w:basedOn w:val="Normal"/>
    <w:next w:val="Normal"/>
    <w:qFormat/>
    <w:pPr>
      <w:keepNext w:val="true"/>
      <w:numPr>
        <w:ilvl w:val="1"/>
        <w:numId w:val="1"/>
      </w:numPr>
      <w:jc w:val="end"/>
      <w:outlineLvl w:val="1"/>
    </w:pPr>
    <w:rPr>
      <w:rFonts w:ascii="Arial Narrow" w:hAnsi="Arial Narrow" w:cs="Arial Narrow"/>
      <w:sz w:val="24"/>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lang w:eastAsia="en-US"/>
    </w:rPr>
  </w:style>
  <w:style w:type="paragraph" w:styleId="BodyText">
    <w:name w:val="Body Text"/>
    <w:basedOn w:val="Normal"/>
    <w:pPr>
      <w:spacing w:lineRule="auto" w:line="360"/>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2000-06-29T14:05:00Z</dcterms:created>
  <dc:creator>Jennifer Pugh</dc:creator>
  <dc:description/>
  <dc:language>en-CA</dc:language>
  <cp:lastModifiedBy>Joanna</cp:lastModifiedBy>
  <cp:lastPrinted>2000-07-25T15:47:00Z</cp:lastPrinted>
  <dcterms:modified xsi:type="dcterms:W3CDTF">2000-07-25T18:00:00Z</dcterms:modified>
  <cp:revision>3</cp:revision>
  <dc:subject/>
  <dc:title>2000 Eisenhower Exchange Fellow</dc:title>
</cp:coreProperties>
</file>