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3600" w:end="0"/>
        <w:rPr/>
      </w:pPr>
      <w:r>
        <w:rPr/>
        <w:t>DRAFT</w:t>
      </w:r>
    </w:p>
    <w:p>
      <w:pPr>
        <w:pStyle w:val="Normal"/>
        <w:rPr/>
      </w:pPr>
      <w:r>
        <w:rPr/>
      </w:r>
    </w:p>
    <w:p>
      <w:pPr>
        <w:pStyle w:val="Normal"/>
        <w:rPr/>
      </w:pPr>
      <w:r>
        <w:rPr/>
        <w:tab/>
        <w:tab/>
        <w:tab/>
        <w:tab/>
        <w:tab/>
        <w:tab/>
        <w:tab/>
        <w:tab/>
        <w:tab/>
        <w:t>PR Contact</w:t>
      </w:r>
    </w:p>
    <w:p>
      <w:pPr>
        <w:pStyle w:val="Normal"/>
        <w:rPr/>
      </w:pPr>
      <w:r>
        <w:rPr/>
        <w:tab/>
        <w:tab/>
        <w:tab/>
        <w:tab/>
        <w:tab/>
        <w:tab/>
        <w:tab/>
        <w:tab/>
        <w:tab/>
        <w:t>Phone Number</w:t>
      </w:r>
    </w:p>
    <w:p>
      <w:pPr>
        <w:pStyle w:val="Normal"/>
        <w:rPr/>
      </w:pPr>
      <w:r>
        <w:rPr/>
      </w:r>
    </w:p>
    <w:p>
      <w:pPr>
        <w:pStyle w:val="Normal"/>
        <w:rPr>
          <w:b/>
          <w:bCs/>
          <w:u w:val="single"/>
        </w:rPr>
      </w:pPr>
      <w:r>
        <w:rPr>
          <w:b/>
          <w:bCs/>
          <w:u w:val="single"/>
        </w:rPr>
        <w:t>COALITION ANNOUNCES DISTRIBUTION OF PLANS TO GIVE ENERGY INDUSTRY UNIFORM RULES FOR COMPETITIVE MARKETPLACE</w:t>
      </w:r>
    </w:p>
    <w:p>
      <w:pPr>
        <w:pStyle w:val="Normal"/>
        <w:rPr/>
      </w:pPr>
      <w:r>
        <w:rPr/>
        <w:t xml:space="preserve"> </w:t>
      </w:r>
    </w:p>
    <w:p>
      <w:pPr>
        <w:pStyle w:val="Normal"/>
        <w:rPr/>
      </w:pPr>
      <w:r>
        <w:rPr/>
        <w:t>FOR IMMEDIATE RELEASE:  xxday, September xx, 1999</w:t>
      </w:r>
    </w:p>
    <w:p>
      <w:pPr>
        <w:pStyle w:val="Normal"/>
        <w:rPr/>
      </w:pPr>
      <w:r>
        <w:rPr/>
      </w:r>
    </w:p>
    <w:p>
      <w:pPr>
        <w:pStyle w:val="Normal"/>
        <w:rPr/>
      </w:pPr>
      <w:r>
        <w:rPr/>
        <w:tab/>
      </w:r>
      <w:r>
        <w:rPr>
          <w:b/>
          <w:bCs/>
        </w:rPr>
        <w:t>Washington, D.C. (?)</w:t>
      </w:r>
      <w:r>
        <w:rPr/>
        <w:t xml:space="preserve"> – The Coalition for Uniform Business Rules (CUBR) today has unveiled its completed business rules implementation  manual based on “best practices” for competitive retail natural gas and electricity market's, posting the document to its website at www.cubr.org.  CUBR’s membership includes over twenty-five competitive energy marketers and service providers, metering and communications companies, trade organizations, and some of the country’s largest investor-owned utilities including  Texas Utilities </w:t>
      </w:r>
    </w:p>
    <w:p>
      <w:pPr>
        <w:pStyle w:val="Normal"/>
        <w:rPr/>
      </w:pPr>
      <w:r>
        <w:rPr/>
      </w:r>
    </w:p>
    <w:p>
      <w:pPr>
        <w:pStyle w:val="Normal"/>
        <w:ind w:end="-720"/>
        <w:rPr/>
      </w:pPr>
      <w:r>
        <w:rPr/>
        <w:t>“</w:t>
      </w:r>
      <w:r>
        <w:rPr/>
        <w:t xml:space="preserve">It is essential that competitive suppliers be able to operate with a uniform set of rules as they engage in the newly restructured energy market,” said Jeff Brown, of Enron, a CUBR sponsoring member.  “The flow of electrons and molecules know no state or service territory boundaries and neither should the guidelines for  market participants which are doing business in multiple areas.  Now that we have completed and published the  CUBR  manual for consideration by all stakeholders, we are seeking a broader range of participants in the process to ensure that these rules are complete and have </w:t>
      </w:r>
    </w:p>
    <w:p>
      <w:pPr>
        <w:pStyle w:val="Normal"/>
        <w:rPr/>
      </w:pPr>
      <w:r>
        <w:rPr/>
        <w:t xml:space="preserve">support from all sectors of the industry.” </w:t>
      </w:r>
    </w:p>
    <w:p>
      <w:pPr>
        <w:pStyle w:val="Normal"/>
        <w:rPr/>
      </w:pPr>
      <w:r>
        <w:rPr/>
      </w:r>
    </w:p>
    <w:p>
      <w:pPr>
        <w:pStyle w:val="Normal"/>
        <w:rPr/>
      </w:pPr>
      <w:r>
        <w:rPr/>
        <w:t xml:space="preserve">In addition to posting the document on its website,  CUBR will present the  manual to the National Association of Regulatory Utility Commissioners (NARUC) at their annual winter meeting. CUBR has also entered into an alliance with Edison Electric Institute (EEI), the National Energy Marketers Association (NEMA), and the Electric Power Supply Association (EPSA) to solicit further comment and  endorsement for the  guidelines.  These organizations had each separately planned similar efforts to begin this fall.  They each recognized the value and timeliness of the work just completed by CUBR. </w:t>
      </w:r>
    </w:p>
    <w:p>
      <w:pPr>
        <w:pStyle w:val="Normal"/>
        <w:rPr/>
      </w:pPr>
      <w:r>
        <w:rPr/>
      </w:r>
    </w:p>
    <w:p>
      <w:pPr>
        <w:pStyle w:val="Normal"/>
        <w:rPr/>
      </w:pPr>
      <w:r>
        <w:rPr/>
        <w:t>“</w:t>
      </w:r>
      <w:r>
        <w:rPr/>
        <w:t>We feel that we have done a lot of the heavy lifting toward creating a unified document,” said  Jeff Bladen, NewEnergy, a CUBR sponsoring member.  “With the cooperation of EEI and others, we now hope to move the process to the next level of industry support, which will be key to getting regulators to start enacting this proposal,” said  Bladen.</w:t>
      </w:r>
    </w:p>
    <w:p>
      <w:pPr>
        <w:pStyle w:val="Normal"/>
        <w:rPr/>
      </w:pPr>
      <w:r>
        <w:rPr/>
      </w:r>
    </w:p>
    <w:p>
      <w:pPr>
        <w:pStyle w:val="Normal"/>
        <w:rPr/>
      </w:pPr>
      <w:r>
        <w:rPr/>
      </w:r>
    </w:p>
    <w:p>
      <w:pPr>
        <w:pStyle w:val="Normal"/>
        <w:rPr/>
      </w:pPr>
      <w:r>
        <w:rPr/>
        <w:t>The published CUBR manual addresses the following areas: Enrollment and Customer Switching, Customer Information, Billing and Collections, Metering, Electric and Natural Gas Operations, Supplier Licensing,  Creditworthiness, Supplier Agreement/Tariff, Performance Standards &amp; Incentives, and Dispute Resolution</w:t>
      </w:r>
    </w:p>
    <w:p>
      <w:pPr>
        <w:pStyle w:val="Normal"/>
        <w:rPr/>
      </w:pPr>
      <w:r>
        <w:rPr/>
      </w:r>
    </w:p>
    <w:p>
      <w:pPr>
        <w:pStyle w:val="Normal"/>
        <w:rPr/>
      </w:pPr>
      <w:r>
        <w:rPr/>
        <w:t>“</w:t>
      </w:r>
      <w:r>
        <w:rPr/>
        <w:t>A uniform set of rules will benefit all energy consumers and market participants,” said R. Scott Brown of Exelon Energy, a CUBR sponsoring member.  “Competitive energy  providers and other suppliers should be focusing on providing consumers more value  and  better service rather than struggling with different standards around the country.”</w:t>
      </w:r>
    </w:p>
    <w:p>
      <w:pPr>
        <w:pStyle w:val="Normal"/>
        <w:rPr/>
      </w:pPr>
      <w:r>
        <w:rPr/>
      </w:r>
    </w:p>
    <w:p>
      <w:pPr>
        <w:pStyle w:val="Normal"/>
        <w:rPr/>
      </w:pPr>
      <w:r>
        <w:rPr/>
        <w:t>CUBR’s “best practices”  manual will allow for more transparent energy markets by removing barriers to the free movement of goods, capital and services and allow competitors to easily service customers with multiple locations in a number of states.  As a result, consumers will have more choices and better opportunities to realize the value of a competitive retail energy marketplace.</w:t>
      </w:r>
    </w:p>
    <w:p>
      <w:pPr>
        <w:pStyle w:val="Normal"/>
        <w:rPr/>
      </w:pPr>
      <w:r>
        <w:rPr/>
      </w:r>
    </w:p>
    <w:p>
      <w:pPr>
        <w:pStyle w:val="Normal"/>
        <w:rPr/>
      </w:pPr>
      <w:r>
        <w:rPr/>
        <w:t>The Coalition for Uniform Business Rules (CUBR) was formed to develop a set of uniform business practices that support all stakeholders in establishing an efficient, competitive retail energy marketplace.  CUBR represents a diverse group of experienced competitive energy market participants that have worked together in a collective and collaborative process to enhance competition.  For more information about CUBR visit its website at www.cubr.org or contact Joelle Ogg, John &amp; Hengerer at (202) 429-8812.  The sponsoring members are:</w:t>
      </w:r>
    </w:p>
    <w:p>
      <w:pPr>
        <w:pStyle w:val="Normal"/>
        <w:rPr/>
      </w:pPr>
      <w:r>
        <w:rPr/>
      </w:r>
    </w:p>
    <w:p>
      <w:pPr>
        <w:pStyle w:val="Normal"/>
        <w:rPr/>
      </w:pPr>
      <w:r>
        <w:rPr/>
      </w:r>
    </w:p>
    <w:p>
      <w:pPr>
        <w:pStyle w:val="Normal"/>
        <w:numPr>
          <w:ilvl w:val="0"/>
          <w:numId w:val="1"/>
        </w:numPr>
        <w:tabs>
          <w:tab w:val="clear" w:pos="720"/>
          <w:tab w:val="left" w:pos="0" w:leader="none"/>
          <w:tab w:val="left" w:pos="360" w:leader="none"/>
        </w:tabs>
        <w:ind w:hanging="720" w:start="1080" w:end="0"/>
        <w:rPr/>
      </w:pPr>
      <w:r>
        <w:rPr/>
        <w:t xml:space="preserve">ABB, </w:t>
      </w:r>
    </w:p>
    <w:p>
      <w:pPr>
        <w:pStyle w:val="Normal"/>
        <w:numPr>
          <w:ilvl w:val="0"/>
          <w:numId w:val="1"/>
        </w:numPr>
        <w:tabs>
          <w:tab w:val="clear" w:pos="720"/>
          <w:tab w:val="left" w:pos="0" w:leader="none"/>
          <w:tab w:val="left" w:pos="360" w:leader="none"/>
        </w:tabs>
        <w:ind w:hanging="720" w:start="1080" w:end="0"/>
        <w:rPr/>
      </w:pPr>
      <w:r>
        <w:rPr/>
        <w:t xml:space="preserve">Altra Energy Technologies, </w:t>
      </w:r>
    </w:p>
    <w:p>
      <w:pPr>
        <w:pStyle w:val="Normal"/>
        <w:numPr>
          <w:ilvl w:val="0"/>
          <w:numId w:val="1"/>
        </w:numPr>
        <w:tabs>
          <w:tab w:val="clear" w:pos="720"/>
          <w:tab w:val="left" w:pos="0" w:leader="none"/>
          <w:tab w:val="left" w:pos="360" w:leader="none"/>
        </w:tabs>
        <w:ind w:hanging="720" w:start="1080" w:end="0"/>
        <w:rPr/>
      </w:pPr>
      <w:r>
        <w:rPr/>
        <w:t xml:space="preserve">Columbia Energy Services Corporation, </w:t>
      </w:r>
    </w:p>
    <w:p>
      <w:pPr>
        <w:pStyle w:val="Normal"/>
        <w:numPr>
          <w:ilvl w:val="0"/>
          <w:numId w:val="1"/>
        </w:numPr>
        <w:tabs>
          <w:tab w:val="clear" w:pos="720"/>
          <w:tab w:val="left" w:pos="0" w:leader="none"/>
          <w:tab w:val="left" w:pos="360" w:leader="none"/>
        </w:tabs>
        <w:ind w:hanging="720" w:start="1080" w:end="0"/>
        <w:rPr/>
      </w:pPr>
      <w:r>
        <w:rPr/>
        <w:t xml:space="preserve">Coral Energy, </w:t>
      </w:r>
    </w:p>
    <w:p>
      <w:pPr>
        <w:pStyle w:val="Normal"/>
        <w:numPr>
          <w:ilvl w:val="0"/>
          <w:numId w:val="1"/>
        </w:numPr>
        <w:tabs>
          <w:tab w:val="clear" w:pos="720"/>
          <w:tab w:val="left" w:pos="0" w:leader="none"/>
          <w:tab w:val="left" w:pos="360" w:leader="none"/>
        </w:tabs>
        <w:ind w:hanging="720" w:start="1080" w:end="0"/>
        <w:rPr/>
      </w:pPr>
      <w:r>
        <w:rPr/>
        <w:t xml:space="preserve">CSC Energy Services, </w:t>
      </w:r>
    </w:p>
    <w:p>
      <w:pPr>
        <w:pStyle w:val="Normal"/>
        <w:numPr>
          <w:ilvl w:val="0"/>
          <w:numId w:val="1"/>
        </w:numPr>
        <w:tabs>
          <w:tab w:val="clear" w:pos="720"/>
          <w:tab w:val="left" w:pos="0" w:leader="none"/>
          <w:tab w:val="left" w:pos="360" w:leader="none"/>
        </w:tabs>
        <w:ind w:hanging="720" w:start="1080" w:end="0"/>
        <w:rPr/>
      </w:pPr>
      <w:r>
        <w:rPr/>
        <w:t xml:space="preserve">DTE Edison America, </w:t>
      </w:r>
    </w:p>
    <w:p>
      <w:pPr>
        <w:pStyle w:val="Normal"/>
        <w:numPr>
          <w:ilvl w:val="0"/>
          <w:numId w:val="1"/>
        </w:numPr>
        <w:tabs>
          <w:tab w:val="clear" w:pos="720"/>
          <w:tab w:val="left" w:pos="0" w:leader="none"/>
          <w:tab w:val="left" w:pos="360" w:leader="none"/>
        </w:tabs>
        <w:ind w:hanging="720" w:start="1080" w:end="0"/>
        <w:rPr/>
      </w:pPr>
      <w:r>
        <w:rPr/>
        <w:t xml:space="preserve">Enron Corporation, </w:t>
      </w:r>
    </w:p>
    <w:p>
      <w:pPr>
        <w:pStyle w:val="Normal"/>
        <w:numPr>
          <w:ilvl w:val="0"/>
          <w:numId w:val="1"/>
        </w:numPr>
        <w:tabs>
          <w:tab w:val="clear" w:pos="720"/>
          <w:tab w:val="left" w:pos="0" w:leader="none"/>
          <w:tab w:val="left" w:pos="360" w:leader="none"/>
        </w:tabs>
        <w:ind w:hanging="720" w:start="1080" w:end="0"/>
        <w:rPr/>
      </w:pPr>
      <w:r>
        <w:rPr/>
        <w:t xml:space="preserve">Excelergy Corporation, </w:t>
      </w:r>
    </w:p>
    <w:p>
      <w:pPr>
        <w:pStyle w:val="Normal"/>
        <w:numPr>
          <w:ilvl w:val="0"/>
          <w:numId w:val="1"/>
        </w:numPr>
        <w:tabs>
          <w:tab w:val="clear" w:pos="720"/>
          <w:tab w:val="left" w:pos="0" w:leader="none"/>
          <w:tab w:val="left" w:pos="360" w:leader="none"/>
        </w:tabs>
        <w:ind w:hanging="720" w:start="1080" w:end="0"/>
        <w:rPr/>
      </w:pPr>
      <w:r>
        <w:rPr/>
        <w:t xml:space="preserve">Exelon Energy, </w:t>
      </w:r>
    </w:p>
    <w:p>
      <w:pPr>
        <w:pStyle w:val="Normal"/>
        <w:numPr>
          <w:ilvl w:val="0"/>
          <w:numId w:val="1"/>
        </w:numPr>
        <w:tabs>
          <w:tab w:val="clear" w:pos="720"/>
          <w:tab w:val="left" w:pos="0" w:leader="none"/>
          <w:tab w:val="left" w:pos="360" w:leader="none"/>
        </w:tabs>
        <w:ind w:hanging="720" w:start="1080" w:end="0"/>
        <w:rPr/>
      </w:pPr>
      <w:r>
        <w:rPr/>
        <w:t xml:space="preserve">Green Mountain.com, </w:t>
      </w:r>
    </w:p>
    <w:p>
      <w:pPr>
        <w:pStyle w:val="Normal"/>
        <w:numPr>
          <w:ilvl w:val="0"/>
          <w:numId w:val="1"/>
        </w:numPr>
        <w:tabs>
          <w:tab w:val="clear" w:pos="720"/>
          <w:tab w:val="left" w:pos="0" w:leader="none"/>
          <w:tab w:val="left" w:pos="360" w:leader="none"/>
        </w:tabs>
        <w:ind w:hanging="720" w:start="1080" w:end="0"/>
        <w:rPr/>
      </w:pPr>
      <w:r>
        <w:rPr/>
        <w:t xml:space="preserve">LG&amp;E Retail Access Services,  </w:t>
      </w:r>
    </w:p>
    <w:p>
      <w:pPr>
        <w:pStyle w:val="Normal"/>
        <w:numPr>
          <w:ilvl w:val="0"/>
          <w:numId w:val="1"/>
        </w:numPr>
        <w:tabs>
          <w:tab w:val="clear" w:pos="720"/>
          <w:tab w:val="left" w:pos="0" w:leader="none"/>
          <w:tab w:val="left" w:pos="360" w:leader="none"/>
        </w:tabs>
        <w:ind w:hanging="720" w:start="1080" w:end="0"/>
        <w:rPr/>
      </w:pPr>
      <w:r>
        <w:rPr/>
        <w:t xml:space="preserve">New Energy, </w:t>
      </w:r>
    </w:p>
    <w:p>
      <w:pPr>
        <w:pStyle w:val="Normal"/>
        <w:numPr>
          <w:ilvl w:val="0"/>
          <w:numId w:val="1"/>
        </w:numPr>
        <w:tabs>
          <w:tab w:val="clear" w:pos="720"/>
          <w:tab w:val="left" w:pos="0" w:leader="none"/>
          <w:tab w:val="left" w:pos="360" w:leader="none"/>
        </w:tabs>
        <w:ind w:hanging="720" w:start="1080" w:end="0"/>
        <w:rPr/>
      </w:pPr>
      <w:r>
        <w:rPr/>
        <w:t xml:space="preserve">Orcom Solutions, Inc., </w:t>
      </w:r>
    </w:p>
    <w:p>
      <w:pPr>
        <w:pStyle w:val="Normal"/>
        <w:numPr>
          <w:ilvl w:val="0"/>
          <w:numId w:val="1"/>
        </w:numPr>
        <w:tabs>
          <w:tab w:val="clear" w:pos="720"/>
          <w:tab w:val="left" w:pos="0" w:leader="none"/>
          <w:tab w:val="left" w:pos="360" w:leader="none"/>
        </w:tabs>
        <w:ind w:hanging="720" w:start="1080" w:end="0"/>
        <w:rPr/>
      </w:pPr>
      <w:r>
        <w:rPr/>
        <w:t xml:space="preserve">PHASER Advanced Metering Services,  </w:t>
      </w:r>
    </w:p>
    <w:p>
      <w:pPr>
        <w:pStyle w:val="Normal"/>
        <w:numPr>
          <w:ilvl w:val="0"/>
          <w:numId w:val="1"/>
        </w:numPr>
        <w:tabs>
          <w:tab w:val="clear" w:pos="720"/>
          <w:tab w:val="left" w:pos="0" w:leader="none"/>
          <w:tab w:val="left" w:pos="360" w:leader="none"/>
        </w:tabs>
        <w:ind w:hanging="720" w:start="1080" w:end="0"/>
        <w:rPr/>
      </w:pPr>
      <w:r>
        <w:rPr/>
        <w:t xml:space="preserve">PG&amp;E Energy Services, </w:t>
      </w:r>
    </w:p>
    <w:p>
      <w:pPr>
        <w:pStyle w:val="Normal"/>
        <w:numPr>
          <w:ilvl w:val="0"/>
          <w:numId w:val="1"/>
        </w:numPr>
        <w:tabs>
          <w:tab w:val="clear" w:pos="720"/>
          <w:tab w:val="left" w:pos="0" w:leader="none"/>
          <w:tab w:val="left" w:pos="360" w:leader="none"/>
        </w:tabs>
        <w:ind w:hanging="720" w:start="1080" w:end="0"/>
        <w:rPr/>
      </w:pPr>
      <w:r>
        <w:rPr/>
        <w:t xml:space="preserve">PP&amp;L EnergyPlus Company, </w:t>
      </w:r>
    </w:p>
    <w:p>
      <w:pPr>
        <w:pStyle w:val="Normal"/>
        <w:numPr>
          <w:ilvl w:val="0"/>
          <w:numId w:val="1"/>
        </w:numPr>
        <w:tabs>
          <w:tab w:val="clear" w:pos="720"/>
          <w:tab w:val="left" w:pos="0" w:leader="none"/>
          <w:tab w:val="left" w:pos="360" w:leader="none"/>
        </w:tabs>
        <w:ind w:hanging="720" w:start="1080" w:end="0"/>
        <w:rPr/>
      </w:pPr>
      <w:r>
        <w:rPr/>
        <w:t xml:space="preserve">Reliant Energy Retail, Inc., </w:t>
      </w:r>
    </w:p>
    <w:p>
      <w:pPr>
        <w:pStyle w:val="Normal"/>
        <w:numPr>
          <w:ilvl w:val="0"/>
          <w:numId w:val="1"/>
        </w:numPr>
        <w:tabs>
          <w:tab w:val="clear" w:pos="720"/>
          <w:tab w:val="left" w:pos="0" w:leader="none"/>
          <w:tab w:val="left" w:pos="360" w:leader="none"/>
        </w:tabs>
        <w:ind w:hanging="720" w:start="1080" w:end="0"/>
        <w:rPr/>
      </w:pPr>
      <w:r>
        <w:rPr/>
        <w:t xml:space="preserve">Retx.com, </w:t>
      </w:r>
    </w:p>
    <w:p>
      <w:pPr>
        <w:pStyle w:val="Normal"/>
        <w:numPr>
          <w:ilvl w:val="0"/>
          <w:numId w:val="1"/>
        </w:numPr>
        <w:tabs>
          <w:tab w:val="clear" w:pos="720"/>
          <w:tab w:val="left" w:pos="0" w:leader="none"/>
          <w:tab w:val="left" w:pos="360" w:leader="none"/>
        </w:tabs>
        <w:ind w:hanging="720" w:start="1080" w:end="0"/>
        <w:rPr/>
      </w:pPr>
      <w:r>
        <w:rPr/>
        <w:t xml:space="preserve">SCT Corporation,  </w:t>
      </w:r>
    </w:p>
    <w:p>
      <w:pPr>
        <w:pStyle w:val="Normal"/>
        <w:numPr>
          <w:ilvl w:val="0"/>
          <w:numId w:val="1"/>
        </w:numPr>
        <w:tabs>
          <w:tab w:val="clear" w:pos="720"/>
          <w:tab w:val="left" w:pos="0" w:leader="none"/>
          <w:tab w:val="left" w:pos="360" w:leader="none"/>
        </w:tabs>
        <w:ind w:hanging="720" w:start="1080" w:end="0"/>
        <w:rPr/>
      </w:pPr>
      <w:r>
        <w:rPr/>
        <w:t xml:space="preserve">Schlumberger, </w:t>
      </w:r>
    </w:p>
    <w:p>
      <w:pPr>
        <w:pStyle w:val="Normal"/>
        <w:numPr>
          <w:ilvl w:val="0"/>
          <w:numId w:val="1"/>
        </w:numPr>
        <w:tabs>
          <w:tab w:val="clear" w:pos="720"/>
          <w:tab w:val="left" w:pos="0" w:leader="none"/>
          <w:tab w:val="left" w:pos="360" w:leader="none"/>
        </w:tabs>
        <w:ind w:hanging="720" w:start="1080" w:end="0"/>
        <w:rPr/>
      </w:pPr>
      <w:r>
        <w:rPr/>
        <w:t xml:space="preserve">Shell Energy Services, L.L.C.,  </w:t>
      </w:r>
    </w:p>
    <w:p>
      <w:pPr>
        <w:pStyle w:val="Normal"/>
        <w:numPr>
          <w:ilvl w:val="0"/>
          <w:numId w:val="1"/>
        </w:numPr>
        <w:tabs>
          <w:tab w:val="clear" w:pos="720"/>
          <w:tab w:val="left" w:pos="0" w:leader="none"/>
          <w:tab w:val="left" w:pos="360" w:leader="none"/>
        </w:tabs>
        <w:ind w:hanging="720" w:start="1080" w:end="0"/>
        <w:rPr/>
      </w:pPr>
      <w:r>
        <w:rPr/>
        <w:t xml:space="preserve">Strategic Energy Limited, </w:t>
      </w:r>
    </w:p>
    <w:p>
      <w:pPr>
        <w:pStyle w:val="Normal"/>
        <w:numPr>
          <w:ilvl w:val="0"/>
          <w:numId w:val="1"/>
        </w:numPr>
        <w:tabs>
          <w:tab w:val="clear" w:pos="720"/>
          <w:tab w:val="left" w:pos="0" w:leader="none"/>
          <w:tab w:val="left" w:pos="360" w:leader="none"/>
        </w:tabs>
        <w:ind w:hanging="720" w:start="1080" w:end="0"/>
        <w:rPr/>
      </w:pPr>
      <w:r>
        <w:rPr/>
        <w:t xml:space="preserve">TXU Electricity, and </w:t>
      </w:r>
    </w:p>
    <w:p>
      <w:pPr>
        <w:pStyle w:val="Normal"/>
        <w:numPr>
          <w:ilvl w:val="0"/>
          <w:numId w:val="1"/>
        </w:numPr>
        <w:tabs>
          <w:tab w:val="clear" w:pos="720"/>
          <w:tab w:val="left" w:pos="0" w:leader="none"/>
          <w:tab w:val="left" w:pos="360" w:leader="none"/>
        </w:tabs>
        <w:ind w:hanging="720" w:start="1080" w:end="0"/>
        <w:rPr/>
      </w:pPr>
      <w:r>
        <w:rPr/>
        <w:t>Utility.com.</w:t>
      </w:r>
    </w:p>
    <w:p>
      <w:pPr>
        <w:pStyle w:val="Normal"/>
        <w:numPr>
          <w:ilvl w:val="0"/>
          <w:numId w:val="0"/>
        </w:numPr>
        <w:ind w:hanging="0" w:start="0"/>
        <w:rPr/>
      </w:pPr>
      <w:r>
        <w:rPr/>
      </w:r>
    </w:p>
    <w:p>
      <w:pPr>
        <w:pStyle w:val="Normal"/>
        <w:numPr>
          <w:ilvl w:val="0"/>
          <w:numId w:val="0"/>
        </w:numPr>
        <w:ind w:hanging="0" w:start="0"/>
        <w:rPr/>
      </w:pPr>
      <w:r>
        <w:rPr/>
        <w:t>The Endorsing Organizations include:</w:t>
      </w:r>
    </w:p>
    <w:p>
      <w:pPr>
        <w:pStyle w:val="Normal"/>
        <w:numPr>
          <w:ilvl w:val="0"/>
          <w:numId w:val="0"/>
        </w:numPr>
        <w:ind w:hanging="0" w:start="360" w:end="0"/>
        <w:rPr/>
      </w:pPr>
      <w:r>
        <w:rPr/>
      </w:r>
    </w:p>
    <w:p>
      <w:pPr>
        <w:pStyle w:val="Normal"/>
        <w:numPr>
          <w:ilvl w:val="0"/>
          <w:numId w:val="1"/>
        </w:numPr>
        <w:tabs>
          <w:tab w:val="clear" w:pos="720"/>
          <w:tab w:val="left" w:pos="0" w:leader="none"/>
          <w:tab w:val="left" w:pos="360" w:leader="none"/>
        </w:tabs>
        <w:ind w:hanging="360" w:start="1080" w:end="0"/>
        <w:rPr>
          <w:rFonts w:ascii="CG Times;Times New Roman" w:hAnsi="CG Times;Times New Roman" w:eastAsia="CG Times;Times New Roman" w:cs="CG Times;Times New Roman"/>
        </w:rPr>
      </w:pPr>
      <w:r>
        <w:rPr>
          <w:rFonts w:eastAsia="CG Times;Times New Roman" w:cs="CG Times;Times New Roman" w:ascii="CG Times;Times New Roman" w:hAnsi="CG Times;Times New Roman"/>
        </w:rPr>
        <w:t>Electric Power Supply Association (EPSA).</w:t>
      </w:r>
    </w:p>
    <w:p>
      <w:pPr>
        <w:pStyle w:val="Normal"/>
        <w:rPr/>
      </w:pPr>
      <w:r>
        <w:rPr/>
      </w:r>
    </w:p>
    <w:p>
      <w:pPr>
        <w:pStyle w:val="Normal"/>
        <w:rPr/>
      </w:pPr>
      <w:r>
        <w:rPr/>
      </w:r>
    </w:p>
    <w:p>
      <w:pPr>
        <w:pStyle w:val="Normal"/>
        <w:rPr/>
      </w:pPr>
      <w:r>
        <w:rPr/>
      </w:r>
    </w:p>
    <w:p>
      <w:pPr>
        <w:pStyle w:val="Normal"/>
        <w:ind w:firstLine="720" w:start="3600" w:end="0"/>
        <w:rPr/>
      </w:pPr>
      <w:r>
        <w:rPr/>
        <w:t>##</w:t>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venir 45 Book">
    <w:charset w:val="01"/>
    <w:family w:val="swiss"/>
    <w:pitch w:val="variable"/>
  </w:font>
  <w:font w:name="Liberation Sans">
    <w:altName w:val="Arial"/>
    <w:charset w:val="01" w:characterSet="utf-8"/>
    <w:family w:val="swiss"/>
    <w:pitch w:val="variable"/>
  </w:font>
  <w:font w:name="CG Times">
    <w:altName w:val="Times New Roman"/>
    <w:charset w:val="01"/>
    <w:family w:val="roman"/>
    <w:pitch w:val="default"/>
  </w:font>
  <w:font w:name="Wingdings">
    <w:altName w:val="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Ø"/>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venir 45 Book" w:hAnsi="Avenir 45 Book" w:eastAsia="Avenir 45 Book" w:cs="Avenir 45 Book"/>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1999-10-01T16:53:00Z</dcterms:created>
  <dc:creator>PECO</dc:creator>
  <dc:description/>
  <dc:language>en-CA</dc:language>
  <cp:lastModifiedBy>Jeffrey Brown</cp:lastModifiedBy>
  <cp:lastPrinted>1999-10-01T03:11:00Z</cp:lastPrinted>
  <dcterms:modified xsi:type="dcterms:W3CDTF">1999-10-01T17:00:00Z</dcterms:modified>
  <cp:revision>7</cp:revision>
  <dc:subject/>
  <dc:title>DRAFT</dc:title>
</cp:coreProperties>
</file>