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Allocation Concepts – New Grid Charges</w:t>
      </w:r>
    </w:p>
    <w:p>
      <w:pPr>
        <w:pStyle w:val="Normal"/>
        <w:rPr>
          <w:sz w:val="24"/>
        </w:rPr>
      </w:pPr>
      <w:r>
        <w:rPr>
          <w:sz w:val="24"/>
        </w:rPr>
      </w:r>
    </w:p>
    <w:p>
      <w:pPr>
        <w:pStyle w:val="Normal"/>
        <w:rPr>
          <w:sz w:val="24"/>
        </w:rPr>
      </w:pPr>
      <w:r>
        <w:rPr>
          <w:sz w:val="24"/>
        </w:rPr>
        <w:t>Effective 1/1/01, the ISO unbundled their Grid Management Charge into three separate charges – 521, 522, and 523.  The following descriptors will outline the methodology applied by the ISO, and estimation and allocation requirements for each of these charges.</w:t>
      </w:r>
    </w:p>
    <w:p>
      <w:pPr>
        <w:pStyle w:val="Normal"/>
        <w:rPr>
          <w:sz w:val="24"/>
        </w:rPr>
      </w:pPr>
      <w:r>
        <w:rPr>
          <w:sz w:val="24"/>
        </w:rPr>
      </w:r>
    </w:p>
    <w:p>
      <w:pPr>
        <w:pStyle w:val="Heading1"/>
        <w:ind w:hanging="0" w:start="0"/>
        <w:rPr/>
      </w:pPr>
      <w:r>
        <w:rPr/>
        <w:t>Charge Type 521</w:t>
      </w:r>
    </w:p>
    <w:p>
      <w:pPr>
        <w:pStyle w:val="Normal"/>
        <w:rPr>
          <w:sz w:val="24"/>
        </w:rPr>
      </w:pPr>
      <w:r>
        <w:rPr>
          <w:sz w:val="24"/>
        </w:rPr>
        <w:t>Based on Metered Load and Scheduled Export volumes, this charge is assessed monthly at the rate of $0.406/MWh.  The ISO provides their hourly version of their Billable Quantity in two separate settlement files.  The load measurement is found in tblISOGridMgmtChrgWheeling_LoadMeasurement in the column labeled as “dMeteredQuantity” and is grouped by Trade Date, Trade Hour, sLocationID (defined as Demand Zones such as PGE1, PGE2, etc.), and Statement Type.  The scheduled export volume is found in tblISOGridMgmtChrgWheeling_IntertieDetail, is identified within that table in the “sImportExportFlag” column as type “E” and is grouped by Trade Date, Trade Hour, sLocationID (defined as Tie Point such as FCORNR_5_PSUEDO or MALIN_5_RNDMTN), and sInterchangeID.</w:t>
      </w:r>
    </w:p>
    <w:p>
      <w:pPr>
        <w:pStyle w:val="Normal"/>
        <w:rPr>
          <w:sz w:val="24"/>
        </w:rPr>
      </w:pPr>
      <w:r>
        <w:rPr>
          <w:sz w:val="24"/>
        </w:rPr>
      </w:r>
    </w:p>
    <w:p>
      <w:pPr>
        <w:pStyle w:val="Normal"/>
        <w:rPr>
          <w:sz w:val="24"/>
        </w:rPr>
      </w:pPr>
      <w:r>
        <w:rPr>
          <w:sz w:val="24"/>
        </w:rPr>
        <w:t>Currently our estimations are using metered load, but we are applying the Congestion Zone instead of the Demand Zone as our sLocationID.  In order to provide for accurate allocations, we must map the Congestion Zones to the corresponding Demand Zone.  We are also using scheduled exports, but we are only using a regional identifier (NP15 or SP15) as our sLocationID instead of an Interchange ID and Tie Point.  Because of that, we must be able to assign the InterchangeID to the appropriate customer volumes to provide accurate allocations.  This concept is currently in practice in allocating charge type 405 in the Deviation database, and should be able to be mimicked in CT 521.</w:t>
      </w:r>
    </w:p>
    <w:p>
      <w:pPr>
        <w:pStyle w:val="Normal"/>
        <w:rPr>
          <w:sz w:val="24"/>
        </w:rPr>
      </w:pPr>
      <w:r>
        <w:rPr>
          <w:sz w:val="24"/>
        </w:rPr>
      </w:r>
    </w:p>
    <w:p>
      <w:pPr>
        <w:pStyle w:val="Heading1"/>
        <w:ind w:hanging="0" w:start="0"/>
        <w:rPr/>
      </w:pPr>
      <w:r>
        <w:rPr/>
        <w:t>Allocating 521 Variances</w:t>
      </w:r>
    </w:p>
    <w:p>
      <w:pPr>
        <w:pStyle w:val="Normal"/>
        <w:rPr>
          <w:sz w:val="24"/>
        </w:rPr>
      </w:pPr>
      <w:r>
        <w:rPr>
          <w:sz w:val="24"/>
        </w:rPr>
        <w:t>Variances in volume will be discovered at the lowest possible level by performing the necessary mapping and sLocationID for EPMI.  The resulting mapped records will be appended into a temporary table.  These records will then be compared to the ISO volumes to calculate the variance.  Each variance will be allocated pro-rata according to the newly mapped EPMI records.  Only Load customers will share in charges based on the load measurements at demand zones, and Export customers will be allocated charges based on scheduled export volumes by InterchangeID.  Volumetric differences that are allocated will be multiplied by the rate to calculate the allocation dollar amount.</w:t>
      </w:r>
    </w:p>
    <w:p>
      <w:pPr>
        <w:pStyle w:val="Normal"/>
        <w:rPr>
          <w:sz w:val="24"/>
        </w:rPr>
      </w:pPr>
      <w:r>
        <w:rPr>
          <w:sz w:val="24"/>
        </w:rPr>
      </w:r>
    </w:p>
    <w:p>
      <w:pPr>
        <w:pStyle w:val="Normal"/>
        <w:rPr>
          <w:sz w:val="24"/>
        </w:rPr>
      </w:pPr>
      <w:r>
        <w:rPr>
          <w:sz w:val="24"/>
        </w:rPr>
        <w:t>Note:  Most of the variances for January can be attributed to export volumes.</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2001-06-06T11:06:00Z</dcterms:created>
  <dc:creator>Caroline Emmert</dc:creator>
  <dc:description/>
  <dc:language>en-CA</dc:language>
  <cp:lastModifiedBy>Caroline Emmert</cp:lastModifiedBy>
  <dcterms:modified xsi:type="dcterms:W3CDTF">2001-06-06T11:08:00Z</dcterms:modified>
  <cp:revision>1</cp:revision>
  <dc:subject/>
  <dc:title>Allocation Concepts – New Grid Charges</dc:title>
</cp:coreProperties>
</file>