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8"/>
        </w:rPr>
      </w:pPr>
      <w:r>
        <w:rPr>
          <w:sz w:val="28"/>
        </w:rPr>
        <w:t>Notification of Settlement Changes</w:t>
      </w:r>
    </w:p>
    <w:p>
      <w:pPr>
        <w:pStyle w:val="Normal"/>
        <w:rPr>
          <w:sz w:val="28"/>
        </w:rPr>
      </w:pPr>
      <w:r>
        <w:rPr>
          <w:sz w:val="28"/>
        </w:rPr>
      </w:r>
    </w:p>
    <w:p>
      <w:pPr>
        <w:pStyle w:val="Heading1"/>
        <w:ind w:hanging="0" w:start="0"/>
        <w:rPr/>
      </w:pPr>
      <w:r>
        <w:rPr/>
        <w:t>Purpose</w:t>
      </w:r>
    </w:p>
    <w:p>
      <w:pPr>
        <w:pStyle w:val="Paragraph"/>
        <w:rPr/>
      </w:pPr>
      <w:r>
        <w:rPr/>
        <w:t>This notification describes an upcoming change in the allocation method for the above-cap costs of Instructed Energy.  The current implementation uses a regional allocation method.  Beginning with the Final Settlement Statements for trade date 3/1/2001, the allocation will be performed on a Control Area basis.</w:t>
      </w:r>
    </w:p>
    <w:p>
      <w:pPr>
        <w:pStyle w:val="Normal"/>
        <w:rPr/>
      </w:pPr>
      <w:r>
        <w:rPr/>
      </w:r>
    </w:p>
    <w:p>
      <w:pPr>
        <w:pStyle w:val="Heading1"/>
        <w:ind w:hanging="0" w:start="0"/>
        <w:rPr>
          <w:rFonts w:ascii="Times New Roman" w:hAnsi="Times New Roman" w:cs="Times New Roman"/>
        </w:rPr>
      </w:pPr>
      <w:r>
        <w:rPr/>
        <w:t>Background</w:t>
      </w:r>
    </w:p>
    <w:p>
      <w:pPr>
        <w:pStyle w:val="Paragraph"/>
        <w:rPr/>
      </w:pPr>
      <w:r>
        <w:rPr/>
        <w:t>Charge Type-487 (CT-487) was implemented on trade date 12/12/2000 as a result of the “Soft Price Cap” scheme adopted in Amendment 33 of the ISO Tariff.  CT-487 is used to allocate the above-cap costs of Instructed Energy to the SCs with net negative Uninstructed Energy.  The rationale for the allocation is that the excess costs incurred for the Instructed Energy should be allocated to those SCs who need the energy as shown by their negative Uninstructed Energy.  The SCs who follow their schedules do not incur the excess costs allocation.</w:t>
      </w:r>
    </w:p>
    <w:p>
      <w:pPr>
        <w:pStyle w:val="Paragraph"/>
        <w:rPr/>
      </w:pPr>
      <w:r>
        <w:rPr/>
        <w:t>The current allocation scheme for the CT-487 is based on a regional approach.  Under this approach, the above-cap energy costs incurred in a region will be allocated to SCs (with negative Uninstructed Energy) in the same region.  The assumption was that the energy procured in real time in a congestion region would be consumed within the same region.  Subsequent settlement revealed various instances in which energy was procured in one region to satisfy the need in another region.  The real time energy flow actually caused the congestion and resulted in the regional split.  Allocation of the above-cap costs to SCs in the source region is deemed unfair.  A better approach is to allocate the above-cap costs on a Control Area basis (based on SCs’ net negative Uninstructed Energy).</w:t>
      </w:r>
    </w:p>
    <w:p>
      <w:pPr>
        <w:pStyle w:val="Paragraph"/>
        <w:rPr/>
      </w:pPr>
      <w:r>
        <w:rPr/>
      </w:r>
    </w:p>
    <w:p>
      <w:pPr>
        <w:pStyle w:val="Heading1"/>
        <w:ind w:hanging="0" w:start="0"/>
        <w:rPr/>
      </w:pPr>
      <w:r>
        <w:rPr/>
        <w:t>Changes in Settlement Calculations</w:t>
      </w:r>
    </w:p>
    <w:p>
      <w:pPr>
        <w:pStyle w:val="Paragraph"/>
        <w:rPr/>
      </w:pPr>
      <w:r>
        <w:rPr/>
        <w:t>The regional allocation scheme for CT-487 will be replaced by a Control Area allocation scheme.  The basis for CT-487 is to have the SCs having net negative Uninstructed Energy pay the excess costs in acquiring Instructed Energy in real time. The SC’s billing determinant for CT-487 is the SC’s net negative deviation.</w:t>
      </w:r>
      <w:r>
        <w:rPr>
          <w:rStyle w:val="FootnoteCharacters"/>
          <w:rStyle w:val="FootnoteReference"/>
        </w:rPr>
        <w:footnoteReference w:id="2"/>
      </w:r>
      <w:r>
        <w:rPr/>
        <w:t xml:space="preserve">  The SC’s net negative deviation is calculated by summing all its Uninstructed Energy in the Control Area, except for the negative Uninstructed Energy from regulating units as a result of providing Regulation Down services.  The excess cost will be allocated to only the SCs with negative Uninstructed Energy.  A pseudo price is determined by dividing the total settlement amounts for the above-cap payments (in CT-481) by the sum of all SC’s net negative Uninstructed Energy.  The allocation concept is illustrated in Figure 1.</w:t>
      </w:r>
    </w:p>
    <w:p>
      <w:pPr>
        <w:pStyle w:val="Paragraph"/>
        <w:rPr/>
      </w:pPr>
      <w:r>
        <w:rPr/>
      </w:r>
    </w:p>
    <w:p>
      <w:pPr>
        <w:pStyle w:val="Paragraph"/>
        <w:keepNext w:val="true"/>
        <w:jc w:val="center"/>
        <w:rPr/>
      </w:pPr>
      <w:r>
        <w:rPr/>
        <w:object w:dxaOrig="7629" w:dyaOrig="468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81.8pt;height:216.15pt" filled="f" o:ole="">
            <v:imagedata r:id="rId3" o:title=""/>
          </v:shape>
          <o:OLEObject Type="Embed" ProgID="" ShapeID="ole_rId2" DrawAspect="Content" ObjectID="_1920489615" r:id="rId2"/>
        </w:object>
      </w:r>
    </w:p>
    <w:p>
      <w:pPr>
        <w:pStyle w:val="Caption"/>
        <w:jc w:val="center"/>
        <w:rPr/>
      </w:pPr>
      <w:r>
        <w:rPr/>
        <w:t xml:space="preserve">Figure </w:t>
      </w:r>
      <w:r>
        <w:rPr/>
        <w:fldChar w:fldCharType="begin"/>
      </w:r>
      <w:r>
        <w:rPr/>
        <w:instrText xml:space="preserve"> SEQ Figure \* ARABIC </w:instrText>
      </w:r>
      <w:r>
        <w:rPr/>
        <w:fldChar w:fldCharType="separate"/>
      </w:r>
      <w:r>
        <w:rPr/>
        <w:t>1</w:t>
      </w:r>
      <w:r>
        <w:rPr/>
        <w:fldChar w:fldCharType="end"/>
      </w:r>
      <w:r>
        <w:rPr/>
        <w:t>. CT-487 Allocation Scheme</w:t>
      </w:r>
    </w:p>
    <w:p>
      <w:pPr>
        <w:pStyle w:val="Paragraph"/>
        <w:jc w:val="center"/>
        <w:rPr/>
      </w:pPr>
      <w:r>
        <w:rPr/>
      </w:r>
    </w:p>
    <w:p>
      <w:pPr>
        <w:pStyle w:val="Paragraph"/>
        <w:jc w:val="center"/>
        <w:rPr/>
      </w:pPr>
      <w:r>
        <w:rPr/>
      </w:r>
    </w:p>
    <w:p>
      <w:pPr>
        <w:pStyle w:val="Heading1"/>
        <w:ind w:hanging="0" w:start="0"/>
        <w:rPr/>
      </w:pPr>
      <w:r>
        <w:rPr/>
        <w:t>Changes in Statement Files</w:t>
      </w:r>
    </w:p>
    <w:p>
      <w:pPr>
        <w:pStyle w:val="Paragraph"/>
        <w:rPr/>
      </w:pPr>
      <w:r>
        <w:rPr/>
        <w:t>There are some minor changes to the Settlement Statement files.  The charge record for CT-487 will no longer use the “Region ID” field.  SCs may also notice charge records with zero billable quantities and zero settlement amounts in their Final Statement if such records were previously issued in their Preliminary Statements with non-zero amounts.  This latter change is to facilitate a positive confirmation of removal of changes.  The Statement Files Specification and ISO Charge Matrix have been updated to reflect the changes.</w:t>
      </w:r>
    </w:p>
    <w:p>
      <w:pPr>
        <w:pStyle w:val="Paragraph"/>
        <w:rPr/>
      </w:pPr>
      <w:r>
        <w:rPr/>
      </w:r>
    </w:p>
    <w:p>
      <w:pPr>
        <w:pStyle w:val="Heading1"/>
        <w:ind w:hanging="0" w:start="0"/>
        <w:rPr/>
      </w:pPr>
      <w:r>
        <w:rPr/>
        <w:t>Implementation Timeline</w:t>
      </w:r>
    </w:p>
    <w:p>
      <w:pPr>
        <w:pStyle w:val="Paragraph"/>
        <w:rPr>
          <w:lang w:eastAsia="en-US"/>
        </w:rPr>
      </w:pPr>
      <w:r>
        <w:rPr>
          <w:lang w:eastAsia="en-US"/>
        </w:rPr>
        <w:t>The ISO recognizes that the regional allocation scheme has been in effect since the implementation of Amendment 33, effective with the 12/12/2000 trade date.  To correct the allocation as soon as possible, ISO will put the Control Area allocation scheme in place beginning with the Final Statement for trade date 3/1/2001.  Allocation issues related to the dates between 12/12/2000 and 2/28/2001 will be addressed as part of a broader Settlement re-run and the ISO will notify the market of the progress and timing of any such re-run in the future.</w:t>
      </w:r>
    </w:p>
    <w:p>
      <w:pPr>
        <w:pStyle w:val="Paragraph"/>
        <w:rPr>
          <w:rFonts w:ascii="Arial" w:hAnsi="Arial" w:cs="Arial"/>
          <w:lang w:eastAsia="en-US"/>
        </w:rPr>
      </w:pPr>
      <w:r>
        <w:rPr>
          <w:rFonts w:cs="Arial" w:ascii="Arial" w:hAnsi="Arial"/>
          <w:lang w:eastAsia="en-US"/>
        </w:rPr>
      </w:r>
    </w:p>
    <w:p>
      <w:pPr>
        <w:pStyle w:val="Heading1"/>
        <w:ind w:hanging="0" w:start="0"/>
        <w:rPr>
          <w:lang w:eastAsia="en-US"/>
        </w:rPr>
      </w:pPr>
      <w:r>
        <w:rPr>
          <w:lang w:eastAsia="en-US"/>
        </w:rPr>
        <w:t>Your Feedback</w:t>
      </w:r>
    </w:p>
    <w:p>
      <w:pPr>
        <w:pStyle w:val="Paragraph"/>
        <w:rPr/>
      </w:pPr>
      <w:r>
        <w:rPr>
          <w:lang w:eastAsia="en-US"/>
        </w:rPr>
        <w:t>As always, your feedback is appreciated.  Questions and comments related to the changes described above can be directed Mr. C.P. Ng via email (</w:t>
      </w:r>
      <w:hyperlink r:id="rId4">
        <w:r>
          <w:rPr>
            <w:rStyle w:val="Hyperlink"/>
            <w:color w:val="auto"/>
            <w:u w:val="none"/>
          </w:rPr>
          <w:t>cng@caiso.com)</w:t>
        </w:r>
      </w:hyperlink>
      <w:r>
        <w:rPr>
          <w:lang w:eastAsia="en-US"/>
        </w:rPr>
        <w:t>.</w:t>
      </w:r>
    </w:p>
    <w:sectPr>
      <w:footerReference w:type="default" r:id="rId5"/>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b/>
      </w:rPr>
      <w:fldChar w:fldCharType="begin"/>
    </w:r>
    <w:r>
      <w:rPr>
        <w:rStyle w:val="PageNumber"/>
        <w:b/>
      </w:rPr>
      <w:instrText xml:space="preserve"> PAGE </w:instrText>
    </w:r>
    <w:r>
      <w:rPr>
        <w:rStyle w:val="PageNumber"/>
        <w:b/>
      </w:rPr>
      <w:fldChar w:fldCharType="separate"/>
    </w:r>
    <w:r>
      <w:rPr>
        <w:rStyle w:val="PageNumber"/>
        <w:b/>
      </w:rPr>
      <w:t>2</w:t>
    </w:r>
    <w:r>
      <w:rPr>
        <w:rStyle w:val="PageNumber"/>
        <w:b/>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net negative deviation is a negative number.  A sign adjustment will be needed in the Settlement equation to derive a positive charge amount.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24"/>
    </w:rPr>
  </w:style>
  <w:style w:type="paragraph" w:styleId="Heading2">
    <w:name w:val="heading 2"/>
    <w:basedOn w:val="Normal"/>
    <w:next w:val="Normal"/>
    <w:qFormat/>
    <w:pPr>
      <w:keepNext w:val="true"/>
      <w:widowControl w:val="false"/>
      <w:numPr>
        <w:ilvl w:val="1"/>
        <w:numId w:val="1"/>
      </w:numPr>
      <w:spacing w:before="240" w:after="60"/>
      <w:outlineLvl w:val="1"/>
    </w:pPr>
    <w:rPr>
      <w:rFonts w:ascii="Arial" w:hAnsi="Arial" w:cs="Arial"/>
      <w:b/>
    </w:rPr>
  </w:style>
  <w:style w:type="paragraph" w:styleId="Heading3">
    <w:name w:val="heading 3"/>
    <w:basedOn w:val="Normal"/>
    <w:next w:val="Normal"/>
    <w:qFormat/>
    <w:pPr>
      <w:keepNext w:val="true"/>
      <w:widowControl w:val="false"/>
      <w:numPr>
        <w:ilvl w:val="2"/>
        <w:numId w:val="1"/>
      </w:numPr>
      <w:spacing w:before="240" w:after="60"/>
      <w:outlineLvl w:val="2"/>
    </w:pPr>
    <w:rPr>
      <w:rFonts w:ascii="Arial" w:hAnsi="Arial" w:cs="Arial"/>
      <w:b/>
      <w:i/>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4z0">
    <w:name w:val="WW8Num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MessageHeader"/>
    <w:pPr>
      <w:widowControl w:val="false"/>
      <w:pBdr>
        <w:top w:val="nil"/>
        <w:left w:val="nil"/>
        <w:bottom w:val="nil"/>
        <w:right w:val="nil"/>
      </w:pBdr>
      <w:shd w:fill="auto" w:val="clear"/>
      <w:tabs>
        <w:tab w:val="clear" w:pos="720"/>
        <w:tab w:val="center" w:pos="4320" w:leader="none"/>
        <w:tab w:val="right" w:pos="8640" w:leader="none"/>
      </w:tabs>
      <w:ind w:hanging="0" w:start="0" w:end="0"/>
    </w:pPr>
    <w:rPr>
      <w:rFonts w:ascii="Times New Roman" w:hAnsi="Times New Roman" w:cs="Times New Roman"/>
      <w:b/>
      <w:kern w:val="2"/>
      <w:sz w:val="20"/>
    </w:rPr>
  </w:style>
  <w:style w:type="paragraph" w:styleId="BodyText2">
    <w:name w:val="Body Text 2"/>
    <w:basedOn w:val="Normal"/>
    <w:qFormat/>
    <w:pPr>
      <w:widowControl w:val="false"/>
    </w:pPr>
    <w:rPr>
      <w:rFonts w:ascii="Arial" w:hAnsi="Arial" w:cs="Arial"/>
      <w:sz w:val="18"/>
    </w:rPr>
  </w:style>
  <w:style w:type="paragraph" w:styleId="Paragraph">
    <w:name w:val="Paragraph"/>
    <w:basedOn w:val="BodyText"/>
    <w:qFormat/>
    <w:pPr>
      <w:overflowPunct w:val="false"/>
      <w:autoSpaceDE w:val="false"/>
      <w:spacing w:before="120" w:after="0"/>
      <w:jc w:val="both"/>
      <w:textAlignment w:val="baseline"/>
    </w:pPr>
    <w:rPr>
      <w:kern w:val="2"/>
      <w:sz w:val="24"/>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mailto:cng@caiso.com)" TargetMode="Externa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2001-05-03T14:14:00Z</dcterms:created>
  <dc:creator>VKondragunta</dc:creator>
  <dc:description/>
  <dc:language>en-CA</dc:language>
  <cp:lastModifiedBy>Chi-Pui Ng</cp:lastModifiedBy>
  <cp:lastPrinted>2000-02-29T12:18:00Z</cp:lastPrinted>
  <dcterms:modified xsi:type="dcterms:W3CDTF">2001-05-07T15:16:00Z</dcterms:modified>
  <cp:revision>5</cp:revision>
  <dc:subject/>
  <dc:title>ISO is planning to implement the settlement calculation based on 10 min interval from Aug 01,2000, As a result of this change the settlement statements will be modified to include the following changes,</dc:title>
</cp:coreProperties>
</file>