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sz w:val="44"/>
        </w:rPr>
      </w:pPr>
      <w:r>
        <w:rPr>
          <w:sz w:val="44"/>
        </w:rPr>
        <w:t>Memorandum</w:t>
      </w:r>
    </w:p>
    <w:p>
      <w:pPr>
        <w:pStyle w:val="Normal"/>
        <w:rPr>
          <w:sz w:val="44"/>
          <w:u w:val="single"/>
        </w:rPr>
      </w:pPr>
      <w:r>
        <w:rPr>
          <w:sz w:val="44"/>
          <w:u w:val="single"/>
        </w:rPr>
      </w:r>
    </w:p>
    <w:p>
      <w:pPr>
        <w:pStyle w:val="Normal"/>
        <w:rPr>
          <w:u w:val="single"/>
        </w:rPr>
      </w:pPr>
      <w:r>
        <w:rPr>
          <w:u w:val="single"/>
        </w:rPr>
      </w:r>
    </w:p>
    <w:p>
      <w:pPr>
        <w:pStyle w:val="Normal"/>
        <w:rPr/>
      </w:pPr>
      <w:r>
        <w:rPr>
          <w:sz w:val="24"/>
          <w:u w:val="single"/>
        </w:rPr>
        <w:t>TO</w:t>
      </w:r>
      <w:r>
        <w:rPr>
          <w:sz w:val="24"/>
        </w:rPr>
        <w:t>: CTS Market Participants</w:t>
        <w:tab/>
        <w:tab/>
        <w:tab/>
        <w:tab/>
        <w:tab/>
        <w:tab/>
        <w:t>January 19, 2001</w:t>
      </w:r>
    </w:p>
    <w:p>
      <w:pPr>
        <w:pStyle w:val="Normal"/>
        <w:rPr/>
      </w:pPr>
      <w:r>
        <w:rPr>
          <w:sz w:val="24"/>
          <w:u w:val="single"/>
        </w:rPr>
        <w:t>FROM</w:t>
      </w:r>
      <w:r>
        <w:rPr>
          <w:sz w:val="24"/>
        </w:rPr>
        <w:t xml:space="preserve">: CalPX </w:t>
      </w:r>
    </w:p>
    <w:p>
      <w:pPr>
        <w:pStyle w:val="Normal"/>
        <w:rPr/>
      </w:pPr>
      <w:r>
        <w:rPr>
          <w:sz w:val="24"/>
          <w:u w:val="single"/>
        </w:rPr>
        <w:t>Re</w:t>
      </w:r>
      <w:r>
        <w:rPr>
          <w:sz w:val="24"/>
        </w:rPr>
        <w:t>: Liquidation Transaction Terms &amp; Conditions</w:t>
      </w:r>
    </w:p>
    <w:p>
      <w:pPr>
        <w:pStyle w:val="Normal"/>
        <w:rPr>
          <w:sz w:val="24"/>
        </w:rPr>
      </w:pPr>
      <w:r>
        <w:rPr>
          <w:sz w:val="24"/>
        </w:rPr>
      </w:r>
    </w:p>
    <w:p>
      <w:pPr>
        <w:pStyle w:val="Normal"/>
        <w:rPr>
          <w:sz w:val="24"/>
        </w:rPr>
      </w:pPr>
      <w:r>
        <w:rPr>
          <w:sz w:val="24"/>
        </w:rPr>
      </w:r>
    </w:p>
    <w:p>
      <w:pPr>
        <w:pStyle w:val="Normal"/>
        <w:rPr>
          <w:sz w:val="24"/>
        </w:rPr>
      </w:pPr>
      <w:r>
        <w:rPr>
          <w:sz w:val="24"/>
        </w:rPr>
        <w:t>CTS Participants:</w:t>
      </w:r>
    </w:p>
    <w:p>
      <w:pPr>
        <w:pStyle w:val="Normal"/>
        <w:rPr>
          <w:sz w:val="24"/>
        </w:rPr>
      </w:pPr>
      <w:r>
        <w:rPr>
          <w:sz w:val="24"/>
        </w:rPr>
      </w:r>
    </w:p>
    <w:p>
      <w:pPr>
        <w:pStyle w:val="Normal"/>
        <w:rPr>
          <w:sz w:val="24"/>
        </w:rPr>
      </w:pPr>
      <w:r>
        <w:rPr>
          <w:sz w:val="24"/>
        </w:rPr>
        <w:t xml:space="preserve">The liquidation process for positions owned by a defaulting CalPX participant (“CTS Liquidation Auction”), will contain some special terms and conditions, in the interest of keeping the integrity of the current market and its members. The following conditions will need to be adhered to, if any participant agrees to a transaction under the liquidation proceedings. </w:t>
      </w:r>
    </w:p>
    <w:p>
      <w:pPr>
        <w:pStyle w:val="Normal"/>
        <w:rPr>
          <w:sz w:val="24"/>
        </w:rPr>
      </w:pPr>
      <w:r>
        <w:rPr>
          <w:sz w:val="24"/>
        </w:rPr>
      </w:r>
    </w:p>
    <w:p>
      <w:pPr>
        <w:pStyle w:val="Normal"/>
        <w:rPr>
          <w:sz w:val="24"/>
        </w:rPr>
      </w:pPr>
      <w:r>
        <w:rPr>
          <w:sz w:val="24"/>
        </w:rPr>
      </w:r>
    </w:p>
    <w:p>
      <w:pPr>
        <w:pStyle w:val="Normal"/>
        <w:rPr>
          <w:b/>
          <w:sz w:val="24"/>
          <w:u w:val="single"/>
        </w:rPr>
      </w:pPr>
      <w:r>
        <w:rPr>
          <w:b/>
          <w:sz w:val="24"/>
          <w:u w:val="single"/>
        </w:rPr>
        <w:t>Process:</w:t>
      </w:r>
    </w:p>
    <w:p>
      <w:pPr>
        <w:pStyle w:val="Normal"/>
        <w:rPr>
          <w:b/>
          <w:sz w:val="24"/>
          <w:u w:val="single"/>
        </w:rPr>
      </w:pPr>
      <w:r>
        <w:rPr>
          <w:b/>
          <w:sz w:val="24"/>
          <w:u w:val="single"/>
        </w:rPr>
      </w:r>
    </w:p>
    <w:p>
      <w:pPr>
        <w:pStyle w:val="Normal"/>
        <w:rPr>
          <w:sz w:val="24"/>
        </w:rPr>
      </w:pPr>
      <w:r>
        <w:rPr>
          <w:sz w:val="24"/>
        </w:rPr>
        <w:t>The California Department of Water Resources (CDWR) will be included in Step 1 if they become an approved CTS participant by 1/19/01.</w:t>
      </w:r>
    </w:p>
    <w:p>
      <w:pPr>
        <w:pStyle w:val="Normal"/>
        <w:rPr>
          <w:sz w:val="24"/>
        </w:rPr>
      </w:pPr>
      <w:r>
        <w:rPr>
          <w:sz w:val="24"/>
        </w:rPr>
      </w:r>
    </w:p>
    <w:p>
      <w:pPr>
        <w:pStyle w:val="Normal"/>
        <w:numPr>
          <w:ilvl w:val="0"/>
          <w:numId w:val="3"/>
        </w:numPr>
        <w:spacing w:before="0" w:after="240"/>
        <w:rPr>
          <w:sz w:val="24"/>
        </w:rPr>
      </w:pPr>
      <w:r>
        <w:rPr>
          <w:sz w:val="24"/>
        </w:rPr>
        <w:t>First preference will be given to approved CTS participants in good standing with open short positions wishing to close their position, as this is most effective for time and alignment contractually with the PX product.  Should these parties not offer competitive bids for liquidation or show little interest, then step 2.</w:t>
      </w:r>
    </w:p>
    <w:p>
      <w:pPr>
        <w:pStyle w:val="Normal"/>
        <w:numPr>
          <w:ilvl w:val="0"/>
          <w:numId w:val="3"/>
        </w:numPr>
        <w:spacing w:before="0" w:after="240"/>
        <w:rPr>
          <w:sz w:val="24"/>
        </w:rPr>
      </w:pPr>
      <w:r>
        <w:rPr>
          <w:sz w:val="24"/>
        </w:rPr>
        <w:t>Contact all CTS participants and seek bids for acceptance using paper, electronic or phone recorded voice media.</w:t>
      </w:r>
    </w:p>
    <w:p>
      <w:pPr>
        <w:pStyle w:val="Normal"/>
        <w:numPr>
          <w:ilvl w:val="0"/>
          <w:numId w:val="3"/>
        </w:numPr>
        <w:spacing w:before="0" w:after="240"/>
        <w:rPr>
          <w:sz w:val="24"/>
        </w:rPr>
      </w:pPr>
      <w:r>
        <w:rPr>
          <w:sz w:val="24"/>
        </w:rPr>
        <w:t>Contact outside entities to solicit a full or remaining book bids.</w:t>
      </w:r>
    </w:p>
    <w:p>
      <w:pPr>
        <w:pStyle w:val="Normal"/>
        <w:rPr>
          <w:sz w:val="24"/>
        </w:rPr>
      </w:pPr>
      <w:r>
        <w:rPr>
          <w:sz w:val="24"/>
        </w:rPr>
      </w:r>
    </w:p>
    <w:p>
      <w:pPr>
        <w:pStyle w:val="Normal"/>
        <w:rPr/>
      </w:pPr>
      <w:r>
        <w:rPr>
          <w:b/>
          <w:sz w:val="24"/>
          <w:u w:val="single"/>
        </w:rPr>
        <w:t>Bid Evaluation</w:t>
      </w:r>
      <w:r>
        <w:rPr>
          <w:b/>
          <w:sz w:val="24"/>
        </w:rPr>
        <w:t>:</w:t>
      </w:r>
    </w:p>
    <w:p>
      <w:pPr>
        <w:pStyle w:val="Normal"/>
        <w:rPr>
          <w:b/>
          <w:sz w:val="24"/>
        </w:rPr>
      </w:pPr>
      <w:r>
        <w:rPr>
          <w:b/>
          <w:sz w:val="24"/>
        </w:rPr>
      </w:r>
    </w:p>
    <w:p>
      <w:pPr>
        <w:pStyle w:val="Normal"/>
        <w:numPr>
          <w:ilvl w:val="0"/>
          <w:numId w:val="2"/>
        </w:numPr>
        <w:spacing w:before="0" w:after="240"/>
        <w:rPr>
          <w:sz w:val="24"/>
        </w:rPr>
      </w:pPr>
      <w:r>
        <w:rPr>
          <w:sz w:val="24"/>
        </w:rPr>
        <w:t>Highest bids by bid order received with time preference given to duplicate bid</w:t>
      </w:r>
    </w:p>
    <w:p>
      <w:pPr>
        <w:pStyle w:val="Normal"/>
        <w:numPr>
          <w:ilvl w:val="0"/>
          <w:numId w:val="2"/>
        </w:numPr>
        <w:spacing w:before="0" w:after="240"/>
        <w:rPr>
          <w:sz w:val="24"/>
        </w:rPr>
      </w:pPr>
      <w:r>
        <w:rPr>
          <w:sz w:val="24"/>
        </w:rPr>
        <w:t>PX management will review and approve awards</w:t>
      </w:r>
    </w:p>
    <w:p>
      <w:pPr>
        <w:pStyle w:val="Normal"/>
        <w:numPr>
          <w:ilvl w:val="0"/>
          <w:numId w:val="2"/>
        </w:numPr>
        <w:spacing w:before="0" w:after="240"/>
        <w:rPr>
          <w:sz w:val="24"/>
        </w:rPr>
      </w:pPr>
      <w:r>
        <w:rPr>
          <w:sz w:val="24"/>
        </w:rPr>
        <w:t>Bid records kept as confidential within the Cal PX legal and compliance guidelines</w:t>
      </w:r>
    </w:p>
    <w:p>
      <w:pPr>
        <w:pStyle w:val="Normal"/>
        <w:rPr>
          <w:sz w:val="24"/>
        </w:rPr>
      </w:pPr>
      <w:r>
        <w:rPr>
          <w:sz w:val="24"/>
        </w:rPr>
      </w:r>
    </w:p>
    <w:p>
      <w:pPr>
        <w:pStyle w:val="Normal"/>
        <w:rPr/>
      </w:pPr>
      <w:r>
        <w:rPr>
          <w:b/>
          <w:sz w:val="24"/>
          <w:u w:val="single"/>
        </w:rPr>
        <w:t>Terms</w:t>
      </w:r>
      <w:r>
        <w:rPr>
          <w:b/>
          <w:sz w:val="24"/>
        </w:rPr>
        <w:t>:</w:t>
      </w:r>
    </w:p>
    <w:p>
      <w:pPr>
        <w:pStyle w:val="Normal"/>
        <w:rPr>
          <w:b/>
          <w:sz w:val="24"/>
        </w:rPr>
      </w:pPr>
      <w:r>
        <w:rPr>
          <w:b/>
          <w:sz w:val="24"/>
        </w:rPr>
      </w:r>
    </w:p>
    <w:p>
      <w:pPr>
        <w:pStyle w:val="Normal"/>
        <w:numPr>
          <w:ilvl w:val="0"/>
          <w:numId w:val="4"/>
        </w:numPr>
        <w:spacing w:before="0" w:after="240"/>
        <w:rPr>
          <w:sz w:val="24"/>
        </w:rPr>
      </w:pPr>
      <w:r>
        <w:rPr>
          <w:sz w:val="24"/>
        </w:rPr>
        <w:t>Successful bidders must make payment to CTS within five (5) calendar days of the awarded bids, but may make payments at anytime before the deadline.</w:t>
      </w:r>
    </w:p>
    <w:p>
      <w:pPr>
        <w:pStyle w:val="Normal"/>
        <w:spacing w:before="0" w:after="240"/>
        <w:rPr>
          <w:sz w:val="24"/>
        </w:rPr>
      </w:pPr>
      <w:r>
        <w:rPr>
          <w:sz w:val="24"/>
        </w:rPr>
      </w:r>
    </w:p>
    <w:p>
      <w:pPr>
        <w:pStyle w:val="Normal"/>
        <w:numPr>
          <w:ilvl w:val="0"/>
          <w:numId w:val="4"/>
        </w:numPr>
        <w:spacing w:before="0" w:after="240"/>
        <w:rPr>
          <w:sz w:val="24"/>
        </w:rPr>
      </w:pPr>
      <w:r>
        <w:rPr>
          <w:sz w:val="24"/>
        </w:rPr>
        <w:t xml:space="preserve">In the event that a CTS participant is able to enter into a “position closing transaction” through the CTS Liquidation Auction, i.e., the participant “buys back its position,” the CalPX/CTS will show that position as a “net of zero” or “flat” position, and for which position the CalPX/CTS will no longer require any collateral to be posted. </w:t>
      </w:r>
    </w:p>
    <w:p>
      <w:pPr>
        <w:pStyle w:val="Normal"/>
        <w:numPr>
          <w:ilvl w:val="0"/>
          <w:numId w:val="4"/>
        </w:numPr>
        <w:spacing w:before="0" w:after="240"/>
        <w:rPr>
          <w:sz w:val="24"/>
        </w:rPr>
      </w:pPr>
      <w:r>
        <w:rPr>
          <w:sz w:val="24"/>
        </w:rPr>
        <w:t xml:space="preserve">No release of collateral on deposit with the PX, if applicable, until payment received by EFT. </w:t>
      </w:r>
    </w:p>
    <w:p>
      <w:pPr>
        <w:pStyle w:val="Normal"/>
        <w:numPr>
          <w:ilvl w:val="0"/>
          <w:numId w:val="4"/>
        </w:numPr>
        <w:spacing w:before="0" w:after="240"/>
        <w:rPr>
          <w:sz w:val="24"/>
        </w:rPr>
      </w:pPr>
      <w:r>
        <w:rPr>
          <w:sz w:val="24"/>
        </w:rPr>
        <w:t>Accept all conditions of PX product unless it is an open interest book-out or assigned as an EFP between two counter parties within CTS.</w:t>
      </w:r>
    </w:p>
    <w:p>
      <w:pPr>
        <w:pStyle w:val="Normal"/>
        <w:rPr>
          <w:sz w:val="24"/>
        </w:rPr>
      </w:pPr>
      <w:r>
        <w:rPr>
          <w:sz w:val="24"/>
        </w:rPr>
      </w:r>
    </w:p>
    <w:p>
      <w:pPr>
        <w:pStyle w:val="Normal"/>
        <w:rPr>
          <w:b/>
          <w:sz w:val="24"/>
          <w:u w:val="single"/>
        </w:rPr>
      </w:pPr>
      <w:r>
        <w:rPr>
          <w:b/>
          <w:sz w:val="24"/>
          <w:u w:val="single"/>
        </w:rPr>
        <w:t>Settlement Amounts:</w:t>
      </w:r>
    </w:p>
    <w:p>
      <w:pPr>
        <w:pStyle w:val="Normal"/>
        <w:rPr>
          <w:b/>
          <w:sz w:val="24"/>
          <w:u w:val="single"/>
        </w:rPr>
      </w:pPr>
      <w:r>
        <w:rPr>
          <w:b/>
          <w:sz w:val="24"/>
          <w:u w:val="single"/>
        </w:rPr>
      </w:r>
    </w:p>
    <w:p>
      <w:pPr>
        <w:pStyle w:val="BodyTextIndent"/>
        <w:ind w:start="0" w:end="0"/>
        <w:rPr>
          <w:sz w:val="24"/>
        </w:rPr>
      </w:pPr>
      <w:r>
        <w:rPr>
          <w:sz w:val="24"/>
        </w:rPr>
        <w:t>The settlement amount will depend on the type of transaction that is consummated.  For any participant entering into a position closing transaction, the payment required will be the purchase price accepted by the CalPX/CTS, less the original sales price, times the quantity of MWh purchased. For any participant entering into a new open position, will be required to pay the full amount of the transaction using the same 5-day settlement timeline.</w:t>
      </w:r>
    </w:p>
    <w:p>
      <w:pPr>
        <w:pStyle w:val="BodyTextIndent"/>
        <w:rPr>
          <w:sz w:val="24"/>
        </w:rPr>
      </w:pPr>
      <w:r>
        <w:rPr>
          <w:sz w:val="24"/>
        </w:rPr>
      </w:r>
    </w:p>
    <w:p>
      <w:pPr>
        <w:pStyle w:val="Normal"/>
        <w:ind w:start="360" w:end="0"/>
        <w:rPr>
          <w:sz w:val="24"/>
        </w:rPr>
      </w:pPr>
      <w:r>
        <w:rPr>
          <w:sz w:val="24"/>
        </w:rPr>
        <w:t>These transactions will not affect any other settlement process or timeline currently in process within CalPX or CTS, using any net amounts. Thus, these transactions shall be viewed as stand-alone and these terms and agreements deemed accepted by participants entering into a transaction in this process.</w:t>
      </w:r>
    </w:p>
    <w:p>
      <w:pPr>
        <w:pStyle w:val="Normal"/>
        <w:rPr/>
      </w:pPr>
      <w:r>
        <w:rPr>
          <w:b/>
          <w:sz w:val="24"/>
          <w:u w:val="single"/>
        </w:rPr>
        <w:t>Collateral Obligations</w:t>
      </w:r>
      <w:r>
        <w:rPr>
          <w:b/>
          <w:sz w:val="24"/>
        </w:rPr>
        <w:t>:</w:t>
      </w:r>
    </w:p>
    <w:p>
      <w:pPr>
        <w:pStyle w:val="Normal"/>
        <w:rPr>
          <w:b/>
          <w:sz w:val="24"/>
        </w:rPr>
      </w:pPr>
      <w:r>
        <w:rPr>
          <w:b/>
          <w:sz w:val="24"/>
        </w:rPr>
      </w:r>
    </w:p>
    <w:p>
      <w:pPr>
        <w:pStyle w:val="Normal"/>
        <w:numPr>
          <w:ilvl w:val="0"/>
          <w:numId w:val="5"/>
        </w:numPr>
        <w:rPr>
          <w:sz w:val="24"/>
        </w:rPr>
      </w:pPr>
      <w:r>
        <w:rPr>
          <w:sz w:val="24"/>
        </w:rPr>
        <w:t>After receiving payment for any described transactions, CalPX/CTS will recalculate the margin requirement for that respective CTS participant, using current market conditions per defined CTS Tariff guidelines and  new position amounts, if any.  CalPX/CTS will recalculate the margin requirement and transmit the new margin requirement to that CTS participant the same day that payment is received.</w:t>
      </w:r>
    </w:p>
    <w:p>
      <w:pPr>
        <w:pStyle w:val="Normal"/>
        <w:rPr>
          <w:sz w:val="24"/>
        </w:rPr>
      </w:pPr>
      <w:r>
        <w:rPr>
          <w:sz w:val="24"/>
        </w:rPr>
      </w:r>
    </w:p>
    <w:p>
      <w:pPr>
        <w:pStyle w:val="Normal"/>
        <w:numPr>
          <w:ilvl w:val="0"/>
          <w:numId w:val="5"/>
        </w:numPr>
        <w:rPr>
          <w:sz w:val="24"/>
        </w:rPr>
      </w:pPr>
      <w:r>
        <w:rPr>
          <w:sz w:val="24"/>
        </w:rPr>
        <w:t>At the request of the CTS participant, following such recalculation, the CalPX/CTS will release all collateral held by CTS participants that is in excess of the collateral required under the CalPX/CTS Tariff(s)for that participant’s net position in the CTS market.  If so requested by a CTS participant, the Cal/PX will make all necessary arrangements to release any excess collateral amounts within two (2) business days following receipt of payment.</w:t>
      </w:r>
    </w:p>
    <w:p>
      <w:pPr>
        <w:pStyle w:val="Normal"/>
        <w:rPr>
          <w:sz w:val="24"/>
        </w:rPr>
      </w:pPr>
      <w:r>
        <w:rPr>
          <w:sz w:val="24"/>
        </w:rPr>
      </w:r>
    </w:p>
    <w:p>
      <w:pPr>
        <w:pStyle w:val="Normal"/>
        <w:numPr>
          <w:ilvl w:val="0"/>
          <w:numId w:val="5"/>
        </w:numPr>
        <w:rPr>
          <w:sz w:val="24"/>
        </w:rPr>
      </w:pPr>
      <w:r>
        <w:rPr>
          <w:sz w:val="24"/>
        </w:rPr>
        <w:t>Thus any closing transactions will bear margin requirements based on net position, per contract series. Any open position will require collateral obligations based on published CTS credit procedures.</w:t>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i w:val="false"/>
        <w:b/>
      </w:rPr>
    </w:lvl>
  </w:abstractNum>
  <w:abstractNum w:abstractNumId="3">
    <w:lvl w:ilvl="0">
      <w:start w:val="1"/>
      <w:numFmt w:val="decimal"/>
      <w:lvlText w:val="%1."/>
      <w:lvlJc w:val="start"/>
      <w:pPr>
        <w:tabs>
          <w:tab w:val="num" w:pos="720"/>
        </w:tabs>
        <w:ind w:start="720" w:hanging="720"/>
      </w:pPr>
      <w:rPr>
        <w:i w:val="false"/>
        <w:b/>
      </w:rPr>
    </w:lvl>
  </w:abstractNum>
  <w:abstractNum w:abstractNumId="4">
    <w:lvl w:ilvl="0">
      <w:start w:val="1"/>
      <w:numFmt w:val="decimal"/>
      <w:lvlText w:val="%1."/>
      <w:lvlJc w:val="start"/>
      <w:pPr>
        <w:tabs>
          <w:tab w:val="num" w:pos="720"/>
        </w:tabs>
        <w:ind w:start="720" w:hanging="720"/>
      </w:pPr>
      <w:rPr>
        <w:i w:val="false"/>
        <w:b/>
      </w:rPr>
    </w:lvl>
  </w:abstractNum>
  <w:abstractNum w:abstractNumId="5">
    <w:lvl w:ilvl="0">
      <w:start w:val="1"/>
      <w:numFmt w:val="decimal"/>
      <w:lvlText w:val="%1."/>
      <w:lvlJc w:val="start"/>
      <w:pPr>
        <w:tabs>
          <w:tab w:val="num" w:pos="720"/>
        </w:tabs>
        <w:ind w:start="720" w:hanging="72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40"/>
    </w:rPr>
  </w:style>
  <w:style w:type="character" w:styleId="WW8Num1z0">
    <w:name w:val="WW8Num1z0"/>
    <w:qFormat/>
    <w:rPr>
      <w:b/>
      <w:i w:val="false"/>
    </w:rPr>
  </w:style>
  <w:style w:type="character" w:styleId="WW8Num2z0">
    <w:name w:val="WW8Num2z0"/>
    <w:qFormat/>
    <w:rPr>
      <w:rFonts w:ascii="Symbol" w:hAnsi="Symbol" w:cs="Symbol"/>
      <w:color w:val="auto"/>
    </w:rPr>
  </w:style>
  <w:style w:type="character" w:styleId="WW8Num3z0">
    <w:name w:val="WW8Num3z0"/>
    <w:qFormat/>
    <w:rPr>
      <w:b/>
      <w:i w:val="false"/>
    </w:rPr>
  </w:style>
  <w:style w:type="character" w:styleId="WW8Num4z0">
    <w:name w:val="WW8Num4z0"/>
    <w:qFormat/>
    <w:rPr>
      <w:b/>
      <w:i w:val="false"/>
    </w:rPr>
  </w:style>
  <w:style w:type="character" w:styleId="WW8Num5z0">
    <w:name w:val="WW8Num5z0"/>
    <w:qFormat/>
    <w:rPr>
      <w:rFonts w:ascii="Wingdings" w:hAnsi="Wingdings" w:cs="Wingdings"/>
    </w:rPr>
  </w:style>
  <w:style w:type="character" w:styleId="WW8Num7z0">
    <w:name w:val="WW8Num7z0"/>
    <w:qFormat/>
    <w:rPr>
      <w:rFonts w:ascii="Symbol" w:hAnsi="Symbol" w:cs="Symbol"/>
      <w:color w:val="auto"/>
    </w:rPr>
  </w:style>
  <w:style w:type="character" w:styleId="WW8Num8z0">
    <w:name w:val="WW8Num8z0"/>
    <w:qFormat/>
    <w:rPr>
      <w:rFonts w:ascii="Symbol" w:hAnsi="Symbol" w:cs="Symbol"/>
    </w:rPr>
  </w:style>
  <w:style w:type="character" w:styleId="WW8Num9z0">
    <w:name w:val="WW8Num9z0"/>
    <w:qFormat/>
    <w:rPr>
      <w:rFonts w:ascii="Symbol" w:hAnsi="Symbol" w:cs="Symbol"/>
      <w:color w:val="auto"/>
    </w:rPr>
  </w:style>
  <w:style w:type="character" w:styleId="WW8Num10z0">
    <w:name w:val="WW8Num10z0"/>
    <w:qFormat/>
    <w:rPr>
      <w:rFonts w:ascii="Symbol" w:hAnsi="Symbol" w:cs="Symbol"/>
    </w:rPr>
  </w:style>
  <w:style w:type="character" w:styleId="WW8Num12z0">
    <w:name w:val="WW8Num12z0"/>
    <w:qFormat/>
    <w:rPr/>
  </w:style>
  <w:style w:type="character" w:styleId="WW8Num13z0">
    <w:name w:val="WW8Num13z0"/>
    <w:qFormat/>
    <w:rPr>
      <w:rFonts w:ascii="Symbol" w:hAnsi="Symbol" w:cs="Symbol"/>
      <w:color w:val="auto"/>
    </w:rPr>
  </w:style>
  <w:style w:type="character" w:styleId="WW8Num14z0">
    <w:name w:val="WW8Num14z0"/>
    <w:qFormat/>
    <w:rPr>
      <w:rFonts w:ascii="Symbol" w:hAnsi="Symbol" w:cs="Symbol"/>
      <w:color w:val="auto"/>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36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2001-01-19T22:29:00Z</dcterms:created>
  <dc:creator>kpark</dc:creator>
  <dc:description/>
  <dc:language>en-CA</dc:language>
  <cp:lastModifiedBy>steve hall</cp:lastModifiedBy>
  <cp:lastPrinted>2001-01-19T16:51:00Z</cp:lastPrinted>
  <dcterms:modified xsi:type="dcterms:W3CDTF">2001-01-19T22:29:00Z</dcterms:modified>
  <cp:revision>2</cp:revision>
  <dc:subject/>
  <dc:title>TO: CTS Market Participants</dc:title>
</cp:coreProperties>
</file>