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ATTACHMENT J</w:t>
      </w:r>
    </w:p>
    <w:p>
      <w:pPr>
        <w:pStyle w:val="Normal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>DECLARATION OF FIRM INTRASTATE PIPELINE CAPACITY</w:t>
      </w:r>
    </w:p>
    <w:p>
      <w:pPr>
        <w:pStyle w:val="Normal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Core Transport Agent: __________________________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Core Transport Group Number: __________________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Pursuant to Schedule G-CT, CTAs are required, during the winter season, November 1 through March 31, to contract for firm intrastate transmission capacity equal to the Group’s pro rata share of PG&amp;E’s core reservation of firm intrastate pipeline capacity, excluding the California on-system reservation (Firm Winter Capacity Requirement).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CTA Group No. __________’s pro rata share of PG&amp;E’s core reservation of firm intrastate pipeline capacity: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 Dth/day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The CTA may satisfy the Firm Winter Capacity Requirement in any combination of the following: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center" w:pos="6840" w:leader="none"/>
        </w:tabs>
        <w:ind w:hanging="720" w:start="720" w:end="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Contract with PG&amp;E under Schedules G-SFT or G-AFT.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center" w:pos="6840" w:leader="none"/>
        </w:tabs>
        <w:ind w:hanging="720" w:start="720" w:end="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Contract with a party other than PG&amp;E for guaranteed use of the party’s 1) firm intrastate transmission capacity or 2) firm PG&amp;E storage capacity and withdrawal rights in conjunction with Schedules G-AA or G-NA.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  <w:tab w:val="center" w:pos="6840" w:leader="none"/>
        </w:tabs>
        <w:ind w:hanging="360" w:start="720" w:end="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Contract for firm storage capacity and withdrawal rights, which shall be in addition to the Group’s Core Storage Allocation.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With this Declaration Form, the undersigned declares that all or a portion of its Firm Winter Capacity Requirement is being fulfilled by option 2 above.  This volume is as follows: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____________Dth/day for the time period__________ to __________.  PG&amp;E GTSA No._______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____________Dth/day for the time period__________ to __________.  PG&amp;E GTSA No._______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____________Dth/day for the time period__________ to __________.  PG&amp;E GTSA No._______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/>
      </w:pPr>
      <w:r>
        <w:rPr>
          <w:rFonts w:eastAsia="Arial" w:cs="Arial" w:ascii="Arial" w:hAnsi="Arial"/>
          <w:b/>
          <w:bCs/>
        </w:rPr>
        <w:t xml:space="preserve">By executing the Attachment J, </w:t>
      </w:r>
      <w:r>
        <w:rPr>
          <w:rFonts w:eastAsia="Arial" w:cs="Arial" w:ascii="Arial" w:hAnsi="Arial"/>
          <w:b/>
          <w:bCs/>
          <w:strike/>
        </w:rPr>
        <w:t>With this Declaration Form,</w:t>
      </w:r>
      <w:r>
        <w:rPr>
          <w:rFonts w:eastAsia="Arial" w:cs="Arial" w:ascii="Arial" w:hAnsi="Arial"/>
          <w:b/>
          <w:bCs/>
        </w:rPr>
        <w:t xml:space="preserve"> the undersigned declares that all or a portion of its Firm Winter Capacity Requirement is being fulfilled by option 3 above.  This volume is as follows: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____________Dth/day inventory and ___________Dth/day withdrawal rights for the time period.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________________to_________________.  PG&amp;E GTSA No.___________.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In the event PG&amp;E determines that the undersigned CTA has in fact not met its Firm Winter Capacity Requirement, PG&amp;E may, without further notice, terminate the CTA Agreement between PG&amp;E and the undersigned.</w:t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CORE TRANSPORT AGENT:</w:t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Name of Authorized Representative:_______________________________</w:t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Title:_________________________________________________________</w:t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Signature_____________________________________________________</w:t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tabs>
          <w:tab w:val="clear" w:pos="720"/>
          <w:tab w:val="center" w:pos="7200" w:leader="none"/>
        </w:tabs>
        <w:spacing w:lineRule="auto" w:line="360"/>
        <w:jc w:val="both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  <w:t>Date_________________________________________________________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432" w:top="720" w:footer="432" w:bottom="48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320" w:leader="none"/>
        <w:tab w:val="left" w:pos="8280" w:leader="none"/>
        <w:tab w:val="right" w:pos="8640" w:leader="none"/>
      </w:tabs>
      <w:rPr/>
    </w:pPr>
    <w:r>
      <w:rPr>
        <w:rFonts w:eastAsia="Arial" w:cs="Arial" w:ascii="Arial" w:hAnsi="Arial"/>
        <w:b/>
        <w:bCs/>
        <w:sz w:val="16"/>
        <w:szCs w:val="16"/>
      </w:rPr>
      <w:tab/>
      <w:tab/>
    </w:r>
    <w:r>
      <w:rPr>
        <w:rFonts w:eastAsia="Arial" w:cs="Arial" w:ascii="Arial" w:hAnsi="Arial"/>
        <w:sz w:val="16"/>
        <w:szCs w:val="16"/>
      </w:rPr>
      <w:t>Form 79-845-Attachment J</w:t>
    </w:r>
  </w:p>
  <w:p>
    <w:pPr>
      <w:pStyle w:val="Footer"/>
      <w:tabs>
        <w:tab w:val="center" w:pos="4320" w:leader="none"/>
        <w:tab w:val="left" w:pos="8280" w:leader="none"/>
        <w:tab w:val="right" w:pos="8640" w:leader="none"/>
      </w:tabs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sz w:val="16"/>
        <w:szCs w:val="16"/>
      </w:rPr>
      <w:tab/>
      <w:tab/>
      <w:t>Tariffs and Compliance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4752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752"/>
    </w:tblGrid>
    <w:tr>
      <w:trPr>
        <w:trHeight w:val="600" w:hRule="atLeast"/>
      </w:trPr>
      <w:tc>
        <w:tcPr>
          <w:tcW w:w="4752" w:type="dxa"/>
          <w:tcBorders>
            <w:top w:val="double" w:sz="6" w:space="0" w:color="000000"/>
            <w:start w:val="double" w:sz="6" w:space="0" w:color="000000"/>
            <w:bottom w:val="double" w:sz="6" w:space="0" w:color="000000"/>
            <w:end w:val="double" w:sz="6" w:space="0" w:color="000000"/>
          </w:tcBorders>
        </w:tcPr>
        <w:p>
          <w:pPr>
            <w:pStyle w:val="Header"/>
            <w:spacing w:before="40" w:after="80"/>
            <w:ind w:hanging="14" w:start="14" w:end="0"/>
            <w:rPr/>
          </w:pPr>
          <w:r>
            <w:rPr>
              <w:sz w:val="14"/>
              <w:szCs w:val="14"/>
            </w:rPr>
            <w:t xml:space="preserve">Subject to Rule 51 of the CPUC Rules of Practice and Procedure, </w:t>
            <w:br/>
            <w:t xml:space="preserve">Rule 601 </w:t>
          </w:r>
          <w:r>
            <w:rPr>
              <w:sz w:val="14"/>
              <w:szCs w:val="14"/>
              <w:u w:val="single"/>
            </w:rPr>
            <w:t>et</w:t>
          </w:r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u w:val="single"/>
            </w:rPr>
            <w:t>seq</w:t>
          </w:r>
          <w:r>
            <w:rPr>
              <w:sz w:val="14"/>
              <w:szCs w:val="14"/>
            </w:rPr>
            <w:t>. of the FERC Rules of Practice, Rule 408 of the Federal</w:t>
            <w:br/>
            <w:t>Rules of Evidence, and Section 1152 of the California Evidence Code</w:t>
          </w:r>
        </w:p>
      </w:tc>
    </w:tr>
  </w:tbl>
  <w:p>
    <w:pPr>
      <w:pStyle w:val="Header"/>
      <w:tabs>
        <w:tab w:val="clear" w:pos="8640"/>
        <w:tab w:val="center" w:pos="4320" w:leader="none"/>
        <w:tab w:val="left" w:pos="6480" w:leader="none"/>
      </w:tabs>
      <w:rPr>
        <w:rFonts w:ascii="Arial" w:hAnsi="Arial" w:eastAsia="Arial" w:cs="Arial"/>
        <w:b/>
        <w:bCs/>
        <w:sz w:val="18"/>
        <w:szCs w:val="18"/>
      </w:rPr>
    </w:pPr>
    <w:r>
      <w:rPr>
        <w:b/>
        <w:bCs/>
      </w:rPr>
      <w:t>Gas OII Settlement Pro-forma Tariffs Draft May 25, 2000</w:t>
    </w:r>
    <w:r>
      <w:rPr/>
      <w:tab/>
    </w:r>
  </w:p>
  <w:p>
    <w:pPr>
      <w:pStyle w:val="Header"/>
      <w:tabs>
        <w:tab w:val="clear" w:pos="8640"/>
        <w:tab w:val="center" w:pos="4320" w:leader="none"/>
        <w:tab w:val="left" w:pos="6480" w:leader="none"/>
      </w:tabs>
      <w:rPr>
        <w:b/>
        <w:bCs/>
      </w:rPr>
    </w:pPr>
    <w:r>
      <w:rPr>
        <w:b/>
        <w:bCs/>
      </w:rPr>
      <w:t>No changes made to the version issued on March 28, 2000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Times (W1);Times New Roman" w:hAnsi="CG Times (W1);Times New Roman" w:eastAsia="CG Times (W1);Times New Roman" w:cs="CG Times (W1);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2000-05-25T20:52:00Z</dcterms:created>
  <dc:creator>A Valued Microsoft Customer</dc:creator>
  <dc:description/>
  <dc:language>en-CA</dc:language>
  <cp:lastModifiedBy>A Valued Microsoft Customer</cp:lastModifiedBy>
  <cp:lastPrinted>2000-03-27T14:42:00Z</cp:lastPrinted>
  <dcterms:modified xsi:type="dcterms:W3CDTF">2000-05-25T20:52:00Z</dcterms:modified>
  <cp:revision>2</cp:revision>
  <dc:subject/>
  <dc:title>ATTACHMENT D</dc:title>
</cp:coreProperties>
</file>