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4"/>
          <w:szCs w:val="24"/>
        </w:rPr>
      </w:pPr>
      <w:r>
        <w:rPr>
          <w:rFonts w:eastAsia="Arial" w:cs="Arial" w:ascii="Arial" w:hAnsi="Arial"/>
          <w:b/>
          <w:bCs/>
          <w:sz w:val="24"/>
          <w:szCs w:val="24"/>
        </w:rPr>
        <w:t>ATTACHMENT D</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CORE FIRM STORAGE ALLOCATION and ASSIGNED AND REJECTED STORAGE FOR CORE TRANSPORT AGENT GROUPS</w:t>
      </w:r>
    </w:p>
    <w:p>
      <w:pPr>
        <w:pStyle w:val="Normal"/>
        <w:jc w:val="both"/>
        <w:rPr>
          <w:rFonts w:ascii="Arial" w:hAnsi="Arial" w:eastAsia="Arial" w:cs="Arial"/>
          <w:b/>
          <w:bCs/>
          <w:sz w:val="24"/>
          <w:szCs w:val="24"/>
        </w:rPr>
      </w:pPr>
      <w:r>
        <w:rPr>
          <w:rFonts w:eastAsia="Arial" w:cs="Arial" w:ascii="Arial" w:hAnsi="Arial"/>
          <w:b/>
          <w:bCs/>
          <w:sz w:val="24"/>
          <w:szCs w:val="24"/>
        </w:rPr>
      </w:r>
    </w:p>
    <w:p>
      <w:pPr>
        <w:pStyle w:val="Normal"/>
        <w:jc w:val="both"/>
        <w:rPr>
          <w:rFonts w:ascii="Arial" w:hAnsi="Arial" w:eastAsia="Arial" w:cs="Arial"/>
        </w:rPr>
      </w:pPr>
      <w:r>
        <w:rPr>
          <w:rFonts w:eastAsia="Arial" w:cs="Arial" w:ascii="Arial" w:hAnsi="Arial"/>
        </w:rPr>
        <w:t>This Attachment specifies the amount of core firm storage capacity (Assigned Storage) to be utilized and paid for pursuant to rate Schedules G-CT and G-CFS by the Core Transport Agent (CTA).  The amount of Assigned Storage is based upon the Initial Storage Allocation, or if applicable, the Mid-Year Storage Allocation, adjusted by percentages thereof accepted and rejected by the CTA, as well as any amounts subsequently assigned to the CTA by PG&amp;E in accordance with Schedule G-CT.  The amount of Assigned Storage may also be increased or reduced by Winter Season Allocation Adjustments.  For each adjustment or change in the amounts of Assigned Storage under Schedule G-CT, a superseding Attachment D shall be in effect.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u w:val="single"/>
        </w:rPr>
      </w:pPr>
      <w:r>
        <w:rPr>
          <w:rFonts w:eastAsia="Arial" w:cs="Arial" w:ascii="Arial" w:hAnsi="Arial"/>
          <w:u w:val="single"/>
        </w:rPr>
        <w:t>TERM</w:t>
      </w:r>
    </w:p>
    <w:p>
      <w:pPr>
        <w:pStyle w:val="Normal"/>
        <w:jc w:val="both"/>
        <w:rPr>
          <w:rFonts w:ascii="Arial" w:hAnsi="Arial" w:eastAsia="Arial" w:cs="Arial"/>
          <w:u w:val="single"/>
        </w:rPr>
      </w:pPr>
      <w:r>
        <w:rPr>
          <w:rFonts w:eastAsia="Arial" w:cs="Arial" w:ascii="Arial" w:hAnsi="Arial"/>
          <w:u w:val="single"/>
        </w:rPr>
      </w:r>
    </w:p>
    <w:p>
      <w:pPr>
        <w:pStyle w:val="Normal"/>
        <w:tabs>
          <w:tab w:val="clear" w:pos="720"/>
          <w:tab w:val="left" w:pos="270" w:leader="none"/>
          <w:tab w:val="left" w:pos="2340" w:leader="none"/>
        </w:tabs>
        <w:jc w:val="both"/>
        <w:rPr>
          <w:rFonts w:ascii="Arial" w:hAnsi="Arial" w:eastAsia="Arial" w:cs="Arial"/>
        </w:rPr>
      </w:pPr>
      <w:r>
        <w:rPr>
          <w:rFonts w:eastAsia="Arial" w:cs="Arial" w:ascii="Arial" w:hAnsi="Arial"/>
        </w:rPr>
        <w:t>The term of the amounts of Assigned Storage and Rejected Capacity set forth herein are effective from the first day of____________(Month, Year) until the earlier of the last day of March _____(Year) or the date a new Attachment D is effective.</w:t>
      </w:r>
    </w:p>
    <w:p>
      <w:pPr>
        <w:pStyle w:val="Normal"/>
        <w:spacing w:lineRule="auto" w:line="360"/>
        <w:jc w:val="both"/>
        <w:rPr>
          <w:rFonts w:ascii="Arial" w:hAnsi="Arial" w:eastAsia="Arial" w:cs="Arial"/>
          <w:u w:val="single"/>
        </w:rPr>
      </w:pPr>
      <w:r>
        <w:rPr>
          <w:rFonts w:eastAsia="Arial" w:cs="Arial" w:ascii="Arial" w:hAnsi="Arial"/>
          <w:u w:val="single"/>
        </w:rPr>
      </w:r>
    </w:p>
    <w:p>
      <w:pPr>
        <w:pStyle w:val="Normal"/>
        <w:spacing w:lineRule="auto" w:line="360"/>
        <w:jc w:val="both"/>
        <w:rPr>
          <w:rFonts w:ascii="Arial" w:hAnsi="Arial" w:eastAsia="Arial" w:cs="Arial"/>
          <w:b/>
          <w:bCs/>
          <w:u w:val="single"/>
        </w:rPr>
      </w:pPr>
      <w:r>
        <w:rPr>
          <w:rFonts w:eastAsia="Arial" w:cs="Arial" w:ascii="Arial" w:hAnsi="Arial"/>
          <w:b/>
          <w:bCs/>
          <w:u w:val="single"/>
        </w:rPr>
        <w:t>CURRENT ALLOCATION CALCULATION</w:t>
      </w:r>
    </w:p>
    <w:p>
      <w:pPr>
        <w:pStyle w:val="Normal"/>
        <w:spacing w:lineRule="auto" w:line="360"/>
        <w:rPr/>
      </w:pPr>
      <w:r>
        <w:rPr>
          <w:rFonts w:eastAsia="Arial" w:cs="Arial" w:ascii="Arial" w:hAnsi="Arial"/>
        </w:rPr>
        <w:t>As of __________ (Date), the forecasted Winter Season throughput for the Group =__</w:t>
      </w:r>
      <w:r>
        <w:rPr>
          <w:rFonts w:eastAsia="Arial" w:cs="Arial" w:ascii="Arial" w:hAnsi="Arial"/>
          <w:u w:val="single"/>
        </w:rPr>
        <w:t xml:space="preserve">   </w:t>
      </w:r>
      <w:r>
        <w:rPr>
          <w:rFonts w:eastAsia="Arial" w:cs="Arial" w:ascii="Arial" w:hAnsi="Arial"/>
        </w:rPr>
        <w:t>_________therms</w:t>
      </w:r>
    </w:p>
    <w:p>
      <w:pPr>
        <w:pStyle w:val="Normal"/>
        <w:spacing w:lineRule="auto" w:line="360"/>
        <w:rPr/>
      </w:pPr>
      <w:r>
        <w:rPr>
          <w:rFonts w:eastAsia="Arial" w:cs="Arial" w:ascii="Arial" w:hAnsi="Arial"/>
        </w:rPr>
        <w:t>PG&amp;E's adopted total core Winter Season throughput = __________________________</w:t>
      </w:r>
      <w:r>
        <w:rPr>
          <w:rFonts w:eastAsia="Arial" w:cs="Arial" w:ascii="Arial" w:hAnsi="Arial"/>
          <w:u w:val="single"/>
        </w:rPr>
        <w:t xml:space="preserve"> </w:t>
      </w:r>
      <w:r>
        <w:rPr>
          <w:rFonts w:eastAsia="Arial" w:cs="Arial" w:ascii="Arial" w:hAnsi="Arial"/>
        </w:rPr>
        <w:t>________therms</w:t>
      </w:r>
    </w:p>
    <w:p>
      <w:pPr>
        <w:pStyle w:val="Normal"/>
        <w:spacing w:lineRule="auto" w:line="360"/>
        <w:rPr>
          <w:rFonts w:ascii="Arial" w:hAnsi="Arial" w:eastAsia="Arial" w:cs="Arial"/>
        </w:rPr>
      </w:pPr>
      <w:r>
        <w:rPr>
          <w:rFonts w:eastAsia="Arial" w:cs="Arial" w:ascii="Arial" w:hAnsi="Arial"/>
        </w:rPr>
        <w:t>The Allocation Factor (AF) for the Group = ____________________</w:t>
      </w:r>
    </w:p>
    <w:p>
      <w:pPr>
        <w:pStyle w:val="Normal"/>
        <w:spacing w:lineRule="auto" w:line="360"/>
        <w:rPr>
          <w:rFonts w:ascii="Arial" w:hAnsi="Arial" w:eastAsia="Arial" w:cs="Arial"/>
        </w:rPr>
      </w:pPr>
      <w:r>
        <w:rPr>
          <w:rFonts w:eastAsia="Arial" w:cs="Arial" w:ascii="Arial" w:hAnsi="Arial"/>
        </w:rPr>
        <w:t>(The AF equals the Group winter season throughput divided by PG&amp;E's total core Winter Season throughput.)</w:t>
      </w:r>
    </w:p>
    <w:p>
      <w:pPr>
        <w:pStyle w:val="Normal"/>
        <w:jc w:val="both"/>
        <w:rPr>
          <w:rFonts w:ascii="Arial" w:hAnsi="Arial" w:eastAsia="Arial" w:cs="Arial"/>
        </w:rPr>
      </w:pPr>
      <w:r>
        <w:rPr>
          <w:rFonts w:eastAsia="Arial" w:cs="Arial" w:ascii="Arial" w:hAnsi="Arial"/>
        </w:rPr>
        <w:t>For the Storage Season ________(month/year) through _______________(month/year)</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ALLOCATIONs AND ASSIGNMENTs –</w:t>
      </w:r>
    </w:p>
    <w:p>
      <w:pPr>
        <w:pStyle w:val="Normal"/>
        <w:jc w:val="center"/>
        <w:rPr>
          <w:rFonts w:ascii="Arial" w:hAnsi="Arial" w:eastAsia="Arial" w:cs="Arial"/>
        </w:rPr>
      </w:pPr>
      <w:r>
        <w:rPr>
          <w:rFonts w:eastAsia="Arial" w:cs="Arial" w:ascii="Arial" w:hAnsi="Arial"/>
        </w:rPr>
      </w:r>
    </w:p>
    <w:p>
      <w:pPr>
        <w:pStyle w:val="Normal"/>
        <w:jc w:val="center"/>
        <w:rPr/>
      </w:pPr>
      <w:r>
        <w:rPr/>
        <w:t>-------------Initial Storage Allocation and Assignment (PG&amp;E Use Only)--------------</w:t>
      </w:r>
    </w:p>
    <w:tbl>
      <w:tblPr>
        <w:tblW w:w="9844" w:type="dxa"/>
        <w:jc w:val="start"/>
        <w:tblInd w:w="0" w:type="dxa"/>
        <w:tblLayout w:type="fixed"/>
        <w:tblCellMar>
          <w:top w:w="0" w:type="dxa"/>
          <w:start w:w="108" w:type="dxa"/>
          <w:bottom w:w="0" w:type="dxa"/>
          <w:end w:w="108" w:type="dxa"/>
        </w:tblCellMar>
      </w:tblPr>
      <w:tblGrid>
        <w:gridCol w:w="644"/>
        <w:gridCol w:w="1702"/>
        <w:gridCol w:w="1949"/>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170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Event</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Inventory (Dth)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w:t>
            </w:r>
          </w:p>
        </w:tc>
        <w:tc>
          <w:tcPr>
            <w:tcW w:w="1702" w:type="dxa"/>
            <w:tcBorders>
              <w:top w:val="single" w:sz="6" w:space="0" w:color="000000"/>
              <w:start w:val="single" w:sz="6" w:space="0" w:color="000000"/>
              <w:bottom w:val="single" w:sz="6" w:space="0" w:color="000000"/>
              <w:end w:val="single" w:sz="6" w:space="0" w:color="000000"/>
            </w:tcBorders>
          </w:tcPr>
          <w:p>
            <w:pPr>
              <w:pStyle w:val="Heading1"/>
              <w:ind w:hanging="0" w:start="0"/>
              <w:rPr>
                <w:u w:val="none"/>
              </w:rPr>
            </w:pPr>
            <w:r>
              <w:rPr>
                <w:u w:val="none"/>
              </w:rPr>
              <w:t>Initial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single"/>
              </w:rPr>
            </w:pPr>
            <w:r>
              <w:rPr>
                <w:rFonts w:eastAsia="Arial" w:cs="Arial" w:ascii="Arial" w:hAnsi="Arial"/>
                <w:u w:val="singl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single"/>
              </w:rPr>
            </w:pPr>
            <w:r>
              <w:rPr>
                <w:rFonts w:eastAsia="Arial" w:cs="Arial" w:ascii="Arial" w:hAnsi="Arial"/>
                <w:u w:val="single"/>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single"/>
              </w:rPr>
            </w:pPr>
            <w:r>
              <w:rPr>
                <w:rFonts w:eastAsia="Arial" w:cs="Arial" w:ascii="Arial" w:hAnsi="Arial"/>
                <w:u w:val="singl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single"/>
              </w:rPr>
            </w:pPr>
            <w:r>
              <w:rPr>
                <w:rFonts w:eastAsia="Arial" w:cs="Arial" w:ascii="Arial" w:hAnsi="Arial"/>
                <w:u w:val="single"/>
              </w:rPr>
            </w:r>
          </w:p>
        </w:tc>
      </w:tr>
    </w:tbl>
    <w:p>
      <w:pPr>
        <w:pStyle w:val="Normal"/>
        <w:ind w:firstLine="720" w:end="0"/>
        <w:rPr/>
      </w:pPr>
      <w:r>
        <w:rPr/>
      </w:r>
    </w:p>
    <w:p>
      <w:pPr>
        <w:pStyle w:val="Normal"/>
        <w:ind w:firstLine="720" w:end="0"/>
        <w:rPr>
          <w:rFonts w:ascii="Arial" w:hAnsi="Arial" w:eastAsia="Arial" w:cs="Arial"/>
        </w:rPr>
      </w:pPr>
      <w:r>
        <w:rPr>
          <w:rFonts w:eastAsia="Arial" w:cs="Arial" w:ascii="Arial" w:hAnsi="Arial"/>
        </w:rPr>
        <w:t xml:space="preserve">                            </w:t>
      </w:r>
      <w:r>
        <w:rPr>
          <w:rFonts w:eastAsia="Arial" w:cs="Arial" w:ascii="Arial" w:hAnsi="Arial"/>
        </w:rPr>
        <w:t>-------------CTA Acceptance and Rejection (CTA Use Only)--------------</w:t>
      </w:r>
    </w:p>
    <w:tbl>
      <w:tblPr>
        <w:tblW w:w="10008" w:type="dxa"/>
        <w:jc w:val="start"/>
        <w:tblInd w:w="0" w:type="dxa"/>
        <w:tblLayout w:type="fixed"/>
        <w:tblCellMar>
          <w:top w:w="0" w:type="dxa"/>
          <w:start w:w="108" w:type="dxa"/>
          <w:bottom w:w="0" w:type="dxa"/>
          <w:end w:w="108" w:type="dxa"/>
        </w:tblCellMar>
      </w:tblPr>
      <w:tblGrid>
        <w:gridCol w:w="644"/>
        <w:gridCol w:w="3244"/>
        <w:gridCol w:w="2610"/>
        <w:gridCol w:w="2258"/>
        <w:gridCol w:w="125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3244"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CTA Accepted Percentage  % +</w:t>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Rejected Percentage %  = </w:t>
            </w:r>
          </w:p>
        </w:tc>
        <w:tc>
          <w:tcPr>
            <w:tcW w:w="2258"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Percent  %</w:t>
            </w:r>
          </w:p>
        </w:tc>
        <w:tc>
          <w:tcPr>
            <w:tcW w:w="1252"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CTA initial</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2</w:t>
            </w:r>
          </w:p>
        </w:tc>
        <w:tc>
          <w:tcPr>
            <w:tcW w:w="3244"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pPr>
            <w:r>
              <w:rPr/>
            </w:r>
          </w:p>
        </w:tc>
        <w:tc>
          <w:tcPr>
            <w:tcW w:w="261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pPr>
            <w:r>
              <w:rPr/>
            </w:r>
          </w:p>
        </w:tc>
        <w:tc>
          <w:tcPr>
            <w:tcW w:w="2258" w:type="dxa"/>
            <w:tcBorders>
              <w:top w:val="single" w:sz="6" w:space="0" w:color="000000"/>
              <w:start w:val="single" w:sz="6" w:space="0" w:color="000000"/>
              <w:bottom w:val="single" w:sz="6" w:space="0" w:color="000000"/>
              <w:end w:val="single" w:sz="6" w:space="0" w:color="000000"/>
            </w:tcBorders>
          </w:tcPr>
          <w:p>
            <w:pPr>
              <w:pStyle w:val="Heading1"/>
              <w:ind w:hanging="0" w:start="0"/>
              <w:rPr>
                <w:u w:val="none"/>
              </w:rPr>
            </w:pPr>
            <w:r>
              <w:rPr>
                <w:u w:val="none"/>
              </w:rPr>
              <w:t>100%</w:t>
            </w:r>
          </w:p>
        </w:tc>
        <w:tc>
          <w:tcPr>
            <w:tcW w:w="1252"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pPr>
            <w:r>
              <w:rPr/>
            </w:r>
          </w:p>
        </w:tc>
      </w:tr>
    </w:tbl>
    <w:p>
      <w:pPr>
        <w:pStyle w:val="Normal"/>
        <w:ind w:firstLine="720" w:end="0"/>
        <w:rPr/>
      </w:pPr>
      <w:r>
        <w:rPr/>
      </w:r>
    </w:p>
    <w:p>
      <w:pPr>
        <w:pStyle w:val="Normal"/>
        <w:rPr/>
      </w:pPr>
      <w:r>
        <w:rPr/>
      </w:r>
    </w:p>
    <w:p>
      <w:pPr>
        <w:pStyle w:val="Normal"/>
        <w:rPr/>
      </w:pPr>
      <w:r>
        <w:rPr/>
      </w:r>
    </w:p>
    <w:p>
      <w:pPr>
        <w:pStyle w:val="Normal"/>
        <w:rPr/>
      </w:pPr>
      <w:r>
        <w:rPr/>
      </w:r>
    </w:p>
    <w:p>
      <w:pPr>
        <w:pStyle w:val="Normal"/>
        <w:jc w:val="center"/>
        <w:rPr>
          <w:rFonts w:ascii="Arial" w:hAnsi="Arial" w:eastAsia="Arial" w:cs="Arial"/>
          <w:b/>
          <w:bCs/>
          <w:sz w:val="24"/>
          <w:szCs w:val="24"/>
        </w:rPr>
      </w:pPr>
      <w:r>
        <w:rPr>
          <w:rFonts w:eastAsia="Arial" w:cs="Arial" w:ascii="Arial" w:hAnsi="Arial"/>
          <w:b/>
          <w:bCs/>
          <w:sz w:val="24"/>
          <w:szCs w:val="24"/>
        </w:rPr>
      </w:r>
      <w:r>
        <w:br w:type="page"/>
      </w:r>
    </w:p>
    <w:p>
      <w:pPr>
        <w:pStyle w:val="Normal"/>
        <w:jc w:val="center"/>
        <w:rPr>
          <w:rFonts w:ascii="Arial" w:hAnsi="Arial" w:eastAsia="Arial" w:cs="Arial"/>
          <w:b/>
          <w:bCs/>
          <w:sz w:val="24"/>
          <w:szCs w:val="24"/>
        </w:rPr>
      </w:pPr>
      <w:r>
        <w:rPr>
          <w:rFonts w:eastAsia="Arial" w:cs="Arial" w:ascii="Arial" w:hAnsi="Arial"/>
          <w:b/>
          <w:bCs/>
          <w:sz w:val="24"/>
          <w:szCs w:val="24"/>
        </w:rPr>
        <w:t>ATTACHMENT D (Continued)</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rPr>
          <w:rFonts w:ascii="Arial" w:hAnsi="Arial" w:eastAsia="Arial" w:cs="Arial"/>
          <w:b/>
          <w:bCs/>
          <w:sz w:val="24"/>
          <w:szCs w:val="24"/>
        </w:rPr>
      </w:pPr>
      <w:r>
        <w:rPr>
          <w:rFonts w:eastAsia="Arial" w:cs="Arial" w:ascii="Arial" w:hAnsi="Arial"/>
          <w:b/>
          <w:bCs/>
          <w:sz w:val="24"/>
          <w:szCs w:val="24"/>
        </w:rPr>
      </w:r>
    </w:p>
    <w:p>
      <w:pPr>
        <w:pStyle w:val="Normal"/>
        <w:rPr>
          <w:b/>
          <w:bCs/>
        </w:rPr>
      </w:pPr>
      <w:r>
        <w:rPr>
          <w:b/>
          <w:bCs/>
        </w:rPr>
        <w:t>PG&amp;E Use Only</w:t>
      </w:r>
    </w:p>
    <w:tbl>
      <w:tblPr>
        <w:tblW w:w="9828" w:type="dxa"/>
        <w:jc w:val="start"/>
        <w:tblInd w:w="0" w:type="dxa"/>
        <w:tblLayout w:type="fixed"/>
        <w:tblCellMar>
          <w:top w:w="0" w:type="dxa"/>
          <w:start w:w="108" w:type="dxa"/>
          <w:bottom w:w="0" w:type="dxa"/>
          <w:end w:w="108" w:type="dxa"/>
        </w:tblCellMar>
      </w:tblPr>
      <w:tblGrid>
        <w:gridCol w:w="648"/>
        <w:gridCol w:w="3600"/>
        <w:gridCol w:w="1980"/>
        <w:gridCol w:w="1710"/>
        <w:gridCol w:w="1890"/>
      </w:tblGrid>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b/>
                <w:bCs/>
              </w:rPr>
              <w:t>Row</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Quantities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Inventory (Dth)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Times New Roman" w:cs="Times New Roman" w:ascii="Times New Roman" w:hAnsi="Times New Roman"/>
                <w:b/>
                <w:bCs/>
              </w:rPr>
              <w:t>Injection (Dth/day)</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Times New Roman" w:cs="Times New Roman" w:ascii="Times New Roman" w:hAnsi="Times New Roman"/>
                <w:b/>
                <w:bCs/>
              </w:rPr>
              <w:t>Withdrawal (Dth/day)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3</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Reassignment over Cap allowance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4</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Allocation Accepted (____%)</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5</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Total Assigned Storage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6</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Total Rejected Capacity</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ind w:firstLine="360" w:start="7380" w:end="0"/>
        <w:jc w:val="both"/>
        <w:rPr/>
      </w:pPr>
      <w:r>
        <w:rPr/>
        <w:t>_________PG&amp;E initial)</w:t>
      </w:r>
    </w:p>
    <w:p>
      <w:pPr>
        <w:pStyle w:val="Normal"/>
        <w:jc w:val="both"/>
        <w:rPr/>
      </w:pPr>
      <w:r>
        <w:rPr/>
      </w:r>
    </w:p>
    <w:p>
      <w:pPr>
        <w:pStyle w:val="Normal"/>
        <w:jc w:val="both"/>
        <w:rPr/>
      </w:pPr>
      <w:r>
        <w:rPr/>
      </w:r>
    </w:p>
    <w:p>
      <w:pPr>
        <w:pStyle w:val="Normal"/>
        <w:jc w:val="center"/>
        <w:rPr>
          <w:rFonts w:ascii="Arial" w:hAnsi="Arial" w:eastAsia="Arial" w:cs="Arial"/>
        </w:rPr>
      </w:pPr>
      <w:r>
        <w:rPr>
          <w:rFonts w:eastAsia="Arial" w:cs="Arial" w:ascii="Arial" w:hAnsi="Arial"/>
        </w:rPr>
        <w:t>-------------Mid-Year Storage Allocation and Assignment  (PG&amp;E Use Only)--------------</w:t>
      </w:r>
    </w:p>
    <w:p>
      <w:pPr>
        <w:pStyle w:val="Normal"/>
        <w:rPr>
          <w:rFonts w:ascii="Arial" w:hAnsi="Arial" w:eastAsia="Arial" w:cs="Arial"/>
        </w:rPr>
      </w:pPr>
      <w:r>
        <w:rPr>
          <w:rFonts w:eastAsia="Arial" w:cs="Arial" w:ascii="Arial" w:hAnsi="Arial"/>
        </w:rPr>
      </w:r>
    </w:p>
    <w:tbl>
      <w:tblPr>
        <w:tblW w:w="9844" w:type="dxa"/>
        <w:jc w:val="start"/>
        <w:tblInd w:w="0" w:type="dxa"/>
        <w:tblLayout w:type="fixed"/>
        <w:tblCellMar>
          <w:top w:w="0" w:type="dxa"/>
          <w:start w:w="108" w:type="dxa"/>
          <w:bottom w:w="0" w:type="dxa"/>
          <w:end w:w="108" w:type="dxa"/>
        </w:tblCellMar>
      </w:tblPr>
      <w:tblGrid>
        <w:gridCol w:w="644"/>
        <w:gridCol w:w="1702"/>
        <w:gridCol w:w="1949"/>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u w:val="none"/>
              </w:rPr>
            </w:pPr>
            <w:r>
              <w:rPr>
                <w:u w:val="none"/>
              </w:rPr>
              <w:t>Row</w:t>
            </w:r>
          </w:p>
        </w:tc>
        <w:tc>
          <w:tcPr>
            <w:tcW w:w="17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Event</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Inventory (Dth)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Times New Roman" w:cs="Times New Roman" w:ascii="Times New Roman" w:hAnsi="Times New Roman"/>
                <w:b/>
                <w:bCs/>
              </w:rPr>
              <w:t>Withdrawal (Dth/day)</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7</w:t>
            </w:r>
          </w:p>
        </w:tc>
        <w:tc>
          <w:tcPr>
            <w:tcW w:w="1702" w:type="dxa"/>
            <w:tcBorders>
              <w:top w:val="single" w:sz="6" w:space="0" w:color="000000"/>
              <w:start w:val="single" w:sz="6" w:space="0" w:color="000000"/>
              <w:bottom w:val="single" w:sz="6" w:space="0" w:color="000000"/>
              <w:end w:val="single" w:sz="6" w:space="0" w:color="000000"/>
            </w:tcBorders>
          </w:tcPr>
          <w:p>
            <w:pPr>
              <w:pStyle w:val="Heading1"/>
              <w:ind w:hanging="0" w:start="0" w:end="-120"/>
              <w:rPr>
                <w:u w:val="none"/>
              </w:rPr>
            </w:pPr>
            <w:r>
              <w:rPr>
                <w:u w:val="none"/>
              </w:rPr>
              <w:t>Mid-Year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8</w:t>
            </w:r>
          </w:p>
        </w:tc>
        <w:tc>
          <w:tcPr>
            <w:tcW w:w="1702"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Difference from Initial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9</w:t>
            </w:r>
          </w:p>
        </w:tc>
        <w:tc>
          <w:tcPr>
            <w:tcW w:w="1702"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Offered Capacity</w:t>
            </w:r>
            <w:r>
              <w:rPr>
                <w:rStyle w:val="FootnoteCharacters"/>
                <w:rStyle w:val="FootnoteReference"/>
                <w:u w:val="none"/>
              </w:rPr>
              <w:footnoteReference w:id="2"/>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rPr>
          <w:b/>
          <w:bCs/>
        </w:rPr>
      </w:pPr>
      <w:r>
        <w:rPr>
          <w:b/>
          <w:bCs/>
        </w:rPr>
      </w:r>
    </w:p>
    <w:p>
      <w:pPr>
        <w:pStyle w:val="Normal"/>
        <w:ind w:firstLine="720" w:end="0"/>
        <w:rPr>
          <w:rFonts w:ascii="Arial" w:hAnsi="Arial" w:eastAsia="Arial" w:cs="Arial"/>
        </w:rPr>
      </w:pPr>
      <w:r>
        <w:rPr>
          <w:rFonts w:eastAsia="Arial" w:cs="Arial" w:ascii="Arial" w:hAnsi="Arial"/>
        </w:rPr>
        <w:t xml:space="preserve">                       </w:t>
      </w:r>
      <w:r>
        <w:rPr>
          <w:rFonts w:eastAsia="Arial" w:cs="Arial" w:ascii="Arial" w:hAnsi="Arial"/>
        </w:rPr>
        <w:t>-------------CTA  Mid-Year Acceptance and Rejection (CTA Use Only)--------------</w:t>
      </w:r>
    </w:p>
    <w:tbl>
      <w:tblPr>
        <w:tblW w:w="10008" w:type="dxa"/>
        <w:jc w:val="start"/>
        <w:tblInd w:w="0" w:type="dxa"/>
        <w:tblLayout w:type="fixed"/>
        <w:tblCellMar>
          <w:top w:w="0" w:type="dxa"/>
          <w:start w:w="108" w:type="dxa"/>
          <w:bottom w:w="0" w:type="dxa"/>
          <w:end w:w="108" w:type="dxa"/>
        </w:tblCellMar>
      </w:tblPr>
      <w:tblGrid>
        <w:gridCol w:w="644"/>
        <w:gridCol w:w="3244"/>
        <w:gridCol w:w="2610"/>
        <w:gridCol w:w="2258"/>
        <w:gridCol w:w="125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rPr>
            </w:pPr>
            <w:r>
              <w:rPr>
                <w:rFonts w:eastAsia="Times New Roman" w:cs="Times New Roman" w:ascii="Times New Roman" w:hAnsi="Times New Roman"/>
              </w:rPr>
              <w:t>Row</w:t>
            </w:r>
          </w:p>
        </w:tc>
        <w:tc>
          <w:tcPr>
            <w:tcW w:w="3244"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u w:val="single"/>
              </w:rPr>
            </w:pPr>
            <w:r>
              <w:rPr>
                <w:rFonts w:eastAsia="Times New Roman" w:cs="Times New Roman" w:ascii="Times New Roman" w:hAnsi="Times New Roman"/>
                <w:b/>
                <w:bCs/>
              </w:rPr>
              <w:t>CTA Accepted Percentage  % +</w:t>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Rejected Percentage %  = </w:t>
            </w:r>
          </w:p>
        </w:tc>
        <w:tc>
          <w:tcPr>
            <w:tcW w:w="2258"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Percent  %</w:t>
            </w:r>
          </w:p>
        </w:tc>
        <w:tc>
          <w:tcPr>
            <w:tcW w:w="1252"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CTA initial</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10</w:t>
            </w:r>
          </w:p>
        </w:tc>
        <w:tc>
          <w:tcPr>
            <w:tcW w:w="3244"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u w:val="none"/>
              </w:rPr>
            </w:pPr>
            <w:r>
              <w:rPr>
                <w:u w:val="none"/>
              </w:rPr>
            </w:r>
          </w:p>
        </w:tc>
        <w:tc>
          <w:tcPr>
            <w:tcW w:w="261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u w:val="none"/>
              </w:rPr>
            </w:pPr>
            <w:r>
              <w:rPr>
                <w:u w:val="none"/>
              </w:rPr>
            </w:r>
          </w:p>
        </w:tc>
        <w:tc>
          <w:tcPr>
            <w:tcW w:w="2258" w:type="dxa"/>
            <w:tcBorders>
              <w:top w:val="single" w:sz="6" w:space="0" w:color="000000"/>
              <w:start w:val="single" w:sz="6" w:space="0" w:color="000000"/>
              <w:bottom w:val="single" w:sz="6" w:space="0" w:color="000000"/>
              <w:end w:val="single" w:sz="6" w:space="0" w:color="000000"/>
            </w:tcBorders>
          </w:tcPr>
          <w:p>
            <w:pPr>
              <w:pStyle w:val="Heading1"/>
              <w:ind w:hanging="0" w:start="0"/>
              <w:rPr>
                <w:u w:val="none"/>
              </w:rPr>
            </w:pPr>
            <w:r>
              <w:rPr>
                <w:u w:val="none"/>
              </w:rPr>
              <w:t>100%</w:t>
            </w:r>
          </w:p>
        </w:tc>
        <w:tc>
          <w:tcPr>
            <w:tcW w:w="1252"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u w:val="none"/>
              </w:rPr>
            </w:pPr>
            <w:r>
              <w:rPr>
                <w:u w:val="none"/>
              </w:rPr>
            </w:r>
          </w:p>
        </w:tc>
      </w:tr>
    </w:tbl>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rPr/>
      </w:pPr>
      <w:r>
        <w:rPr/>
        <w:t>PG&amp;E Use Only</w:t>
      </w:r>
    </w:p>
    <w:tbl>
      <w:tblPr>
        <w:tblW w:w="9828" w:type="dxa"/>
        <w:jc w:val="start"/>
        <w:tblInd w:w="0" w:type="dxa"/>
        <w:tblLayout w:type="fixed"/>
        <w:tblCellMar>
          <w:top w:w="0" w:type="dxa"/>
          <w:start w:w="108" w:type="dxa"/>
          <w:bottom w:w="0" w:type="dxa"/>
          <w:end w:w="108" w:type="dxa"/>
        </w:tblCellMar>
      </w:tblPr>
      <w:tblGrid>
        <w:gridCol w:w="648"/>
        <w:gridCol w:w="3600"/>
        <w:gridCol w:w="1980"/>
        <w:gridCol w:w="1710"/>
        <w:gridCol w:w="1890"/>
      </w:tblGrid>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b/>
                <w:bCs/>
              </w:rPr>
              <w:t>Row</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Quantities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Inventory (Dth)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Times New Roman" w:cs="Times New Roman" w:ascii="Times New Roman" w:hAnsi="Times New Roman"/>
                <w:b/>
                <w:bCs/>
              </w:rPr>
              <w:t>Injection (Dth/day)</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Times New Roman" w:cs="Times New Roman" w:ascii="Times New Roman" w:hAnsi="Times New Roman"/>
                <w:b/>
                <w:bCs/>
              </w:rPr>
              <w:t>Withdrawal (Dth/day)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11</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Reassignment over Cap allowance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12</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Mid-Year Storage Allocation Accepted (___%)</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13</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Assigned Storage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14 </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Rejected Capacity</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ind w:firstLine="720" w:start="7200" w:end="0"/>
        <w:jc w:val="both"/>
        <w:rPr/>
      </w:pPr>
      <w:r>
        <w:rPr>
          <w:rFonts w:eastAsia="Arial" w:cs="Arial" w:ascii="Arial" w:hAnsi="Arial"/>
          <w:u w:val="single"/>
        </w:rPr>
        <w:t>_______</w:t>
      </w:r>
      <w:r>
        <w:rPr/>
        <w:t>(PG&amp;E initial)</w:t>
      </w:r>
      <w:r>
        <w:br w:type="page"/>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b/>
          <w:bCs/>
          <w:sz w:val="24"/>
          <w:szCs w:val="24"/>
        </w:rPr>
      </w:pPr>
      <w:r>
        <w:rPr>
          <w:rFonts w:eastAsia="Arial" w:cs="Arial" w:ascii="Arial" w:hAnsi="Arial"/>
          <w:b/>
          <w:bCs/>
          <w:sz w:val="24"/>
          <w:szCs w:val="24"/>
        </w:rPr>
        <w:t>ATTACHMENT D (Continued)</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rPr>
      </w:pPr>
      <w:r>
        <w:rPr>
          <w:rFonts w:eastAsia="Arial" w:cs="Arial" w:ascii="Arial" w:hAnsi="Arial"/>
        </w:rPr>
        <w:t>-------------Winter Season Capacity Adjustment (PG&amp;E Use Only)--------------</w:t>
      </w:r>
    </w:p>
    <w:p>
      <w:pPr>
        <w:pStyle w:val="Normal"/>
        <w:jc w:val="both"/>
        <w:rPr>
          <w:rFonts w:ascii="Arial" w:hAnsi="Arial" w:eastAsia="Arial" w:cs="Arial"/>
        </w:rPr>
      </w:pPr>
      <w:r>
        <w:rPr>
          <w:rFonts w:eastAsia="Arial" w:cs="Arial" w:ascii="Arial" w:hAnsi="Arial"/>
        </w:rPr>
      </w:r>
    </w:p>
    <w:p>
      <w:pPr>
        <w:pStyle w:val="Normal"/>
        <w:tabs>
          <w:tab w:val="clear" w:pos="720"/>
          <w:tab w:val="left" w:pos="644" w:leader="none"/>
          <w:tab w:val="left" w:pos="2346" w:leader="none"/>
          <w:tab w:val="left" w:pos="4295" w:leader="none"/>
          <w:tab w:val="left" w:pos="6227" w:leader="none"/>
          <w:tab w:val="left" w:pos="7912" w:leader="none"/>
          <w:tab w:val="left" w:pos="9844" w:leader="none"/>
        </w:tabs>
        <w:rPr/>
      </w:pPr>
      <w:r>
        <w:rPr/>
        <w:tab/>
        <w:tab/>
        <w:tab/>
        <w:tab/>
        <w:tab/>
      </w:r>
    </w:p>
    <w:tbl>
      <w:tblPr>
        <w:tblW w:w="9844" w:type="dxa"/>
        <w:jc w:val="start"/>
        <w:tblInd w:w="0" w:type="dxa"/>
        <w:tblLayout w:type="fixed"/>
        <w:tblCellMar>
          <w:top w:w="0" w:type="dxa"/>
          <w:start w:w="108" w:type="dxa"/>
          <w:bottom w:w="0" w:type="dxa"/>
          <w:end w:w="108" w:type="dxa"/>
        </w:tblCellMar>
      </w:tblPr>
      <w:tblGrid>
        <w:gridCol w:w="644"/>
        <w:gridCol w:w="4"/>
        <w:gridCol w:w="1698"/>
        <w:gridCol w:w="1949"/>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Inventory (Dth)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15</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Potential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16</w:t>
            </w:r>
          </w:p>
        </w:tc>
        <w:tc>
          <w:tcPr>
            <w:tcW w:w="1698"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Difference from Mid-Year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17</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start"/>
              <w:rPr>
                <w:u w:val="none"/>
              </w:rPr>
            </w:pPr>
            <w:r>
              <w:rPr>
                <w:u w:val="none"/>
              </w:rPr>
              <w:t>Offered Capacity</w:t>
            </w:r>
            <w:r>
              <w:rPr>
                <w:rStyle w:val="FootnoteCharacters"/>
                <w:rStyle w:val="FootnoteReference"/>
                <w:u w:val="none"/>
              </w:rPr>
              <w:footnoteReference w:id="3"/>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18</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start"/>
              <w:rPr>
                <w:u w:val="none"/>
              </w:rPr>
            </w:pPr>
            <w:r>
              <w:rPr>
                <w:u w:val="none"/>
              </w:rPr>
              <w:t>Requested or Required Adjustment</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19</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start"/>
              <w:rPr>
                <w:u w:val="none"/>
              </w:rPr>
            </w:pPr>
            <w:r>
              <w:rPr>
                <w:u w:val="none"/>
              </w:rPr>
              <w:t>Total Assigned Storage</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20</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start"/>
              <w:rPr>
                <w:u w:val="none"/>
              </w:rPr>
            </w:pPr>
            <w:r>
              <w:rPr>
                <w:u w:val="none"/>
              </w:rPr>
              <w:t>Total Rejected Capacity</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ind w:firstLine="720" w:end="0"/>
        <w:rPr>
          <w:rFonts w:ascii="Arial" w:hAnsi="Arial" w:eastAsia="Arial" w:cs="Arial"/>
        </w:rPr>
      </w:pPr>
      <w:r>
        <w:rPr>
          <w:rFonts w:eastAsia="Arial" w:cs="Arial" w:ascii="Arial" w:hAnsi="Arial"/>
        </w:rPr>
      </w:r>
    </w:p>
    <w:p>
      <w:pPr>
        <w:pStyle w:val="Normal"/>
        <w:ind w:firstLine="720" w:end="0"/>
        <w:rPr>
          <w:rFonts w:ascii="Arial" w:hAnsi="Arial" w:eastAsia="Arial" w:cs="Arial"/>
        </w:rPr>
      </w:pPr>
      <w:r>
        <w:rPr>
          <w:rFonts w:eastAsia="Arial" w:cs="Arial" w:ascii="Arial" w:hAnsi="Arial"/>
        </w:rPr>
        <w:t>-------------Winter Season Capacity Adjustment  Acceptance and Rejection (CTA Use Only)--------------</w:t>
      </w:r>
    </w:p>
    <w:tbl>
      <w:tblPr>
        <w:tblW w:w="10008" w:type="dxa"/>
        <w:jc w:val="start"/>
        <w:tblInd w:w="0" w:type="dxa"/>
        <w:tblLayout w:type="fixed"/>
        <w:tblCellMar>
          <w:top w:w="0" w:type="dxa"/>
          <w:start w:w="108" w:type="dxa"/>
          <w:bottom w:w="0" w:type="dxa"/>
          <w:end w:w="108" w:type="dxa"/>
        </w:tblCellMar>
      </w:tblPr>
      <w:tblGrid>
        <w:gridCol w:w="644"/>
        <w:gridCol w:w="3244"/>
        <w:gridCol w:w="2610"/>
        <w:gridCol w:w="2258"/>
        <w:gridCol w:w="125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3244"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CTA Accepted Percentage  % +</w:t>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Rejected Percentage %  = </w:t>
            </w:r>
          </w:p>
        </w:tc>
        <w:tc>
          <w:tcPr>
            <w:tcW w:w="2258"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Percent  %</w:t>
            </w:r>
          </w:p>
        </w:tc>
        <w:tc>
          <w:tcPr>
            <w:tcW w:w="1252"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CTA initial</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21</w:t>
            </w:r>
          </w:p>
        </w:tc>
        <w:tc>
          <w:tcPr>
            <w:tcW w:w="3244"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u w:val="none"/>
              </w:rPr>
            </w:pPr>
            <w:r>
              <w:rPr>
                <w:u w:val="none"/>
              </w:rPr>
            </w:r>
          </w:p>
        </w:tc>
        <w:tc>
          <w:tcPr>
            <w:tcW w:w="261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u w:val="none"/>
              </w:rPr>
            </w:pPr>
            <w:r>
              <w:rPr>
                <w:u w:val="none"/>
              </w:rPr>
            </w:r>
          </w:p>
        </w:tc>
        <w:tc>
          <w:tcPr>
            <w:tcW w:w="2258" w:type="dxa"/>
            <w:tcBorders>
              <w:top w:val="single" w:sz="6" w:space="0" w:color="000000"/>
              <w:start w:val="single" w:sz="6" w:space="0" w:color="000000"/>
              <w:bottom w:val="single" w:sz="6" w:space="0" w:color="000000"/>
              <w:end w:val="single" w:sz="6" w:space="0" w:color="000000"/>
            </w:tcBorders>
          </w:tcPr>
          <w:p>
            <w:pPr>
              <w:pStyle w:val="Heading1"/>
              <w:ind w:hanging="0" w:start="0"/>
              <w:rPr>
                <w:u w:val="none"/>
              </w:rPr>
            </w:pPr>
            <w:r>
              <w:rPr>
                <w:u w:val="none"/>
              </w:rPr>
              <w:t>100%</w:t>
            </w:r>
          </w:p>
        </w:tc>
        <w:tc>
          <w:tcPr>
            <w:tcW w:w="1252"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u w:val="none"/>
              </w:rPr>
            </w:pPr>
            <w:r>
              <w:rPr>
                <w:u w:val="none"/>
              </w:rPr>
            </w:r>
          </w:p>
        </w:tc>
      </w:tr>
    </w:tbl>
    <w:p>
      <w:pPr>
        <w:pStyle w:val="Normal"/>
        <w:jc w:val="both"/>
        <w:rPr/>
      </w:pPr>
      <w:r>
        <w:rPr/>
      </w:r>
    </w:p>
    <w:p>
      <w:pPr>
        <w:pStyle w:val="Normal"/>
        <w:ind w:firstLine="720" w:end="0"/>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To the extent the CTA rejects a portion of the storage capacity, the CTA must do so in a 10% increment, (e.g., 10%, 20%, 30%, etc., up to 100%).  The accepted percentage also should be specified herein (e.g., Accepted 30%, Rejected 70%).  The accepted allocation may be adjusted mid-year or during months of the Winter Season as provided in Schedule G-CT.  CTA agrees to comply with month-end injection season and withdrawal season inventory target levels as specified in Schedule G-CT.  The CTA will pay PG&amp;E monthly for its Assigned Storage.  The CTA must have certified Alternate Resources, as provided in Schedule G-CT, in an amount equivalent to the total amount of capacity the CTA has rejected during the Storage Year.</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 CTA’s failure to reject a portion, or all, of the Initial Storage Allocation by March 1 of the core firm storage season shall be deemed an acceptance thereof.  For each CTA, the Initial Storage Allocation, to the extent accepted, or deemed accepted, or to the extent excess rejections are assigned to the CTA (as provided below), shall be the Accepted Allocation.</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For any and all rejected storage capacity, the CTA agrees to obtain Alternate Resources, as provided in Schedule G-CT, equivalent to the Winter Storage Withdrawal Capacity Requirements for each month of the Winter Season and agrees to </w:t>
      </w:r>
    </w:p>
    <w:p>
      <w:pPr>
        <w:pStyle w:val="Normal"/>
        <w:jc w:val="both"/>
        <w:rPr/>
      </w:pPr>
      <w:r>
        <w:rPr>
          <w:rFonts w:eastAsia="Arial" w:cs="Arial" w:ascii="Arial" w:hAnsi="Arial"/>
        </w:rPr>
        <w:t xml:space="preserve">provide timely monthly certifications, using PG&amp;E’s </w:t>
      </w:r>
      <w:r>
        <w:rPr>
          <w:rFonts w:eastAsia="Arial" w:cs="Arial" w:ascii="Arial" w:hAnsi="Arial"/>
          <w:u w:val="single"/>
        </w:rPr>
        <w:t>Certification of Alternate Resources for Rejected Storage Withdrawal Capacity,</w:t>
      </w:r>
      <w:r>
        <w:rPr>
          <w:rFonts w:eastAsia="Arial" w:cs="Arial" w:ascii="Arial" w:hAnsi="Arial"/>
        </w:rPr>
        <w:t xml:space="preserve"> Form 79-845, Attachment I.</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center"/>
        <w:rPr>
          <w:rFonts w:ascii="Arial" w:hAnsi="Arial" w:eastAsia="Arial" w:cs="Arial"/>
          <w:u w:val="single"/>
        </w:rPr>
      </w:pPr>
      <w:r>
        <w:rPr>
          <w:rFonts w:eastAsia="Arial" w:cs="Arial" w:ascii="Arial" w:hAnsi="Arial"/>
          <w:b/>
          <w:bCs/>
          <w:sz w:val="24"/>
          <w:szCs w:val="24"/>
        </w:rPr>
        <w:t>ATTACHMENT D (Continued)</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center"/>
        <w:rPr>
          <w:rFonts w:ascii="Arial" w:hAnsi="Arial" w:eastAsia="Arial" w:cs="Arial"/>
          <w:b/>
          <w:bCs/>
          <w:sz w:val="24"/>
          <w:szCs w:val="24"/>
          <w:u w:val="single"/>
        </w:rPr>
      </w:pPr>
      <w:r>
        <w:rPr>
          <w:rFonts w:eastAsia="Arial" w:cs="Arial" w:ascii="Arial" w:hAnsi="Arial"/>
          <w:b/>
          <w:bCs/>
          <w:sz w:val="24"/>
          <w:szCs w:val="24"/>
          <w:u w:val="single"/>
        </w:rPr>
      </w:r>
    </w:p>
    <w:p>
      <w:pPr>
        <w:pStyle w:val="Normal"/>
        <w:jc w:val="both"/>
        <w:rPr>
          <w:rFonts w:ascii="Arial" w:hAnsi="Arial" w:eastAsia="Arial" w:cs="Arial"/>
          <w:b/>
          <w:bCs/>
          <w:sz w:val="24"/>
          <w:szCs w:val="24"/>
          <w:u w:val="single"/>
        </w:rPr>
      </w:pPr>
      <w:r>
        <w:rPr>
          <w:rFonts w:eastAsia="Arial" w:cs="Arial" w:ascii="Arial" w:hAnsi="Arial"/>
          <w:b/>
          <w:bCs/>
          <w:sz w:val="24"/>
          <w:szCs w:val="24"/>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rPr>
      </w:pPr>
      <w:r>
        <w:rPr>
          <w:rFonts w:eastAsia="Arial" w:cs="Arial" w:ascii="Arial" w:hAnsi="Arial"/>
          <w:u w:val="single"/>
        </w:rPr>
        <w:t>RELEASE AND INDEMNITY</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For any and all rejected PG&amp;E storage allocations, the CTA releases PG&amp;E from any and all liability arising out of or associated with the CTA’s rejection thereof and with the associated inventory and withdrawal capacity not being available for the CTA’s use. Further the CTA shall indemnify PG&amp;E for any and all losses, including direct and consequential damages, that arise or are associated from (i): any representation in the CTA’s monthly certifications respecting Alternate Resources (Attachment I) which turn out to be inaccurate, (ii) any failure of the CTA’s Alternate Resources to perform as compared to the storage resources which would have been available to the CTA from PG&amp;E’s allocated core storage capacity had the PG&amp;E storage capacity not been rejected by the CTA, and or (iii) any failure to provide such certifications as required in Schedule G-CT.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b/>
          <w:bCs/>
        </w:rPr>
      </w:pPr>
      <w:r>
        <w:rPr>
          <w:rFonts w:eastAsia="Arial" w:cs="Arial" w:ascii="Arial" w:hAnsi="Arial"/>
          <w:b/>
          <w:bCs/>
        </w:rPr>
        <w:t>By:</w:t>
      </w:r>
    </w:p>
    <w:p>
      <w:pPr>
        <w:pStyle w:val="Normal"/>
        <w:jc w:val="both"/>
        <w:rPr>
          <w:rFonts w:ascii="Arial" w:hAnsi="Arial" w:eastAsia="Arial" w:cs="Arial"/>
          <w:b/>
          <w:bCs/>
        </w:rPr>
      </w:pPr>
      <w:r>
        <w:rPr>
          <w:rFonts w:eastAsia="Arial" w:cs="Arial" w:ascii="Arial" w:hAnsi="Arial"/>
          <w:b/>
          <w:bCs/>
        </w:rPr>
      </w:r>
    </w:p>
    <w:p>
      <w:pPr>
        <w:pStyle w:val="Normal"/>
        <w:tabs>
          <w:tab w:val="clear" w:pos="720"/>
          <w:tab w:val="center" w:pos="7200" w:leader="none"/>
        </w:tabs>
        <w:jc w:val="both"/>
        <w:rPr/>
      </w:pPr>
      <w:r>
        <w:rPr>
          <w:rFonts w:eastAsia="Arial" w:cs="Arial" w:ascii="Arial" w:hAnsi="Arial"/>
        </w:rPr>
        <w:t>___________________________________</w:t>
        <w:tab/>
      </w:r>
      <w:r>
        <w:rPr>
          <w:rFonts w:eastAsia="Arial" w:cs="Arial" w:ascii="Arial" w:hAnsi="Arial"/>
          <w:b/>
          <w:bCs/>
        </w:rPr>
        <w:t>Pacific Gas &amp; Electric Company</w:t>
      </w:r>
    </w:p>
    <w:p>
      <w:pPr>
        <w:pStyle w:val="Normal"/>
        <w:jc w:val="both"/>
        <w:rPr>
          <w:rFonts w:ascii="Arial" w:hAnsi="Arial" w:eastAsia="Arial" w:cs="Arial"/>
        </w:rPr>
      </w:pPr>
      <w:r>
        <w:rPr>
          <w:rFonts w:eastAsia="Arial" w:cs="Arial" w:ascii="Arial" w:hAnsi="Arial"/>
        </w:rPr>
        <w:tab/>
        <w:t>(CTA [Company] Name)</w:t>
      </w:r>
    </w:p>
    <w:p>
      <w:pPr>
        <w:pStyle w:val="Normal"/>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710" w:leader="none"/>
          <w:tab w:val="center" w:pos="7200" w:leader="none"/>
        </w:tabs>
        <w:jc w:val="both"/>
        <w:rPr>
          <w:rFonts w:ascii="Arial" w:hAnsi="Arial" w:eastAsia="Arial" w:cs="Arial"/>
        </w:rPr>
      </w:pPr>
      <w:r>
        <w:rPr>
          <w:rFonts w:eastAsia="Arial" w:cs="Arial" w:ascii="Arial" w:hAnsi="Arial"/>
        </w:rPr>
        <w:tab/>
        <w:t>(Signature of CTA or duly-</w:t>
        <w:tab/>
        <w:t>(PG&amp;E Signature)</w:t>
      </w:r>
    </w:p>
    <w:p>
      <w:pPr>
        <w:pStyle w:val="Normal"/>
        <w:tabs>
          <w:tab w:val="clear" w:pos="720"/>
          <w:tab w:val="center" w:pos="1800" w:leader="none"/>
          <w:tab w:val="center" w:pos="7200" w:leader="none"/>
        </w:tabs>
        <w:jc w:val="both"/>
        <w:rPr>
          <w:rFonts w:ascii="Arial" w:hAnsi="Arial" w:eastAsia="Arial" w:cs="Arial"/>
        </w:rPr>
      </w:pPr>
      <w:r>
        <w:rPr>
          <w:rFonts w:eastAsia="Arial" w:cs="Arial" w:ascii="Arial" w:hAnsi="Arial"/>
        </w:rPr>
        <w:tab/>
        <w:t>authorized representative)</w:t>
      </w:r>
    </w:p>
    <w:p>
      <w:pPr>
        <w:pStyle w:val="Normal"/>
        <w:tabs>
          <w:tab w:val="clear" w:pos="720"/>
          <w:tab w:val="center" w:pos="1800" w:leader="none"/>
          <w:tab w:val="center" w:pos="720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710" w:leader="none"/>
          <w:tab w:val="center" w:pos="7200" w:leader="none"/>
        </w:tabs>
        <w:jc w:val="both"/>
        <w:rPr>
          <w:rFonts w:ascii="Arial" w:hAnsi="Arial" w:eastAsia="Arial" w:cs="Arial"/>
        </w:rPr>
      </w:pPr>
      <w:r>
        <w:rPr>
          <w:rFonts w:eastAsia="Arial" w:cs="Arial" w:ascii="Arial" w:hAnsi="Arial"/>
        </w:rPr>
        <w:tab/>
        <w:t>(Print Name)</w:t>
        <w:tab/>
        <w:t>(Print Name)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620" w:leader="none"/>
          <w:tab w:val="center" w:pos="7200" w:leader="none"/>
        </w:tabs>
        <w:jc w:val="both"/>
        <w:rPr>
          <w:rFonts w:ascii="Arial" w:hAnsi="Arial" w:eastAsia="Arial" w:cs="Arial"/>
        </w:rPr>
      </w:pPr>
      <w:r>
        <w:rPr>
          <w:rFonts w:eastAsia="Arial" w:cs="Arial" w:ascii="Arial" w:hAnsi="Arial"/>
        </w:rPr>
        <w:tab/>
        <w:t>(Title)</w:t>
        <w:tab/>
        <w:t>(Title)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620" w:leader="none"/>
          <w:tab w:val="center" w:pos="7200" w:leader="none"/>
        </w:tabs>
        <w:jc w:val="both"/>
        <w:rPr>
          <w:rFonts w:ascii="Arial" w:hAnsi="Arial" w:eastAsia="Arial" w:cs="Arial"/>
        </w:rPr>
      </w:pPr>
      <w:r>
        <w:rPr>
          <w:rFonts w:eastAsia="Arial" w:cs="Arial" w:ascii="Arial" w:hAnsi="Arial"/>
        </w:rPr>
        <w:tab/>
        <w:t>(Date)</w:t>
        <w:tab/>
        <w:t>(Date)</w:t>
      </w:r>
    </w:p>
    <w:sectPr>
      <w:headerReference w:type="default" r:id="rId2"/>
      <w:footerReference w:type="default" r:id="rId3"/>
      <w:footnotePr>
        <w:numFmt w:val="decimal"/>
      </w:footnotePr>
      <w:type w:val="nextPage"/>
      <w:pgSz w:w="12240" w:h="15840"/>
      <w:pgMar w:left="720" w:right="720"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left" w:pos="8280" w:leader="none"/>
        <w:tab w:val="right" w:pos="8640" w:leader="none"/>
      </w:tabs>
      <w:rPr/>
    </w:pPr>
    <w:r>
      <w:rPr>
        <w:rFonts w:eastAsia="Arial" w:cs="Arial" w:ascii="Arial" w:hAnsi="Arial"/>
        <w:b/>
        <w:bCs/>
        <w:sz w:val="16"/>
        <w:szCs w:val="16"/>
      </w:rPr>
      <w:tab/>
      <w:tab/>
    </w:r>
    <w:r>
      <w:rPr>
        <w:rFonts w:eastAsia="Arial" w:cs="Arial" w:ascii="Arial" w:hAnsi="Arial"/>
        <w:sz w:val="16"/>
        <w:szCs w:val="16"/>
      </w:rPr>
      <w:t>Form 79-845-Attachment D</w:t>
    </w:r>
  </w:p>
  <w:p>
    <w:pPr>
      <w:pStyle w:val="Footer"/>
      <w:tabs>
        <w:tab w:val="center" w:pos="4320" w:leader="none"/>
        <w:tab w:val="left" w:pos="8280" w:leader="none"/>
        <w:tab w:val="right" w:pos="8640" w:leader="none"/>
      </w:tabs>
      <w:rPr>
        <w:rFonts w:ascii="Arial" w:hAnsi="Arial" w:eastAsia="Arial" w:cs="Arial"/>
        <w:sz w:val="16"/>
        <w:szCs w:val="16"/>
      </w:rPr>
    </w:pPr>
    <w:r>
      <w:rPr>
        <w:rFonts w:eastAsia="Arial" w:cs="Arial" w:ascii="Arial" w:hAnsi="Arial"/>
        <w:sz w:val="16"/>
        <w:szCs w:val="16"/>
      </w:rPr>
      <w:tab/>
      <w:tab/>
      <w:t>Tariffs and Compliance</w:t>
    </w:r>
  </w:p>
  <w:p>
    <w:pPr>
      <w:pStyle w:val="Footer"/>
      <w:tabs>
        <w:tab w:val="center" w:pos="4320" w:leader="none"/>
        <w:tab w:val="left" w:pos="8280" w:leader="none"/>
        <w:tab w:val="right" w:pos="8640" w:leader="none"/>
      </w:tabs>
      <w:rPr/>
    </w:pPr>
    <w:r>
      <w:rPr>
        <w:rFonts w:eastAsia="Arial" w:cs="Arial" w:ascii="Arial" w:hAnsi="Arial"/>
        <w:sz w:val="16"/>
        <w:szCs w:val="16"/>
      </w:rPr>
      <w:tab/>
      <w:tab/>
    </w:r>
    <w:r>
      <w:rPr/>
      <w:t xml:space="preserve">Page </w:t>
    </w:r>
    <w:r>
      <w:rPr/>
      <w:fldChar w:fldCharType="begin"/>
    </w:r>
    <w:r>
      <w:rPr/>
      <w:instrText xml:space="preserve"> PAGE </w:instrText>
    </w:r>
    <w:r>
      <w:rPr/>
      <w:fldChar w:fldCharType="separate"/>
    </w:r>
    <w:r>
      <w:rPr/>
      <w:t>4</w:t>
    </w:r>
    <w:r>
      <w:rPr/>
      <w:fldChar w:fldCharType="end"/>
    </w:r>
    <w: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If offered capacity is negative, the amounts listed represent amounts that are to be sold to PG&amp;E’s Core Procurement Department, in accordance with G-CT provisions for decreases in loads. </w:t>
      </w:r>
    </w:p>
  </w:footnote>
  <w:footnote w:id="3">
    <w:p>
      <w:pPr>
        <w:pStyle w:val="FootnoteText"/>
        <w:rPr/>
      </w:pPr>
      <w:r>
        <w:rPr>
          <w:rStyle w:val="FootnoteCharacters"/>
        </w:rPr>
        <w:footnoteRef/>
      </w:r>
      <w:r>
        <w:rPr/>
        <w:t xml:space="preserve"> </w:t>
      </w:r>
      <w:r>
        <w:rPr/>
        <w:t>If the offered capacity indicated in the Inventory column is greater that 1,000,000 therms, or less than negative 1,000,000 therms, a transfer of storage capacity between the CTA and PG&amp;E’s Core Procurement Department is required.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752" w:type="dxa"/>
      <w:jc w:val="start"/>
      <w:tblInd w:w="0" w:type="dxa"/>
      <w:tblLayout w:type="fixed"/>
      <w:tblCellMar>
        <w:top w:w="0" w:type="dxa"/>
        <w:start w:w="108" w:type="dxa"/>
        <w:bottom w:w="0" w:type="dxa"/>
        <w:end w:w="108" w:type="dxa"/>
      </w:tblCellMar>
    </w:tblPr>
    <w:tblGrid>
      <w:gridCol w:w="4752"/>
    </w:tblGrid>
    <w:tr>
      <w:trPr>
        <w:trHeight w:val="600" w:hRule="atLeast"/>
      </w:trPr>
      <w:tc>
        <w:tcPr>
          <w:tcW w:w="4752"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tabs>
        <w:tab w:val="clear" w:pos="8640"/>
        <w:tab w:val="center" w:pos="4320" w:leader="none"/>
        <w:tab w:val="left" w:pos="6480" w:leader="none"/>
      </w:tabs>
      <w:rPr>
        <w:b/>
        <w:bCs/>
      </w:rPr>
    </w:pPr>
    <w:r>
      <w:rPr>
        <w:b/>
        <w:bCs/>
      </w:rPr>
      <w:t>Gas OII Settlement Pro-forma Tariffs Draft May 25, 2000</w:t>
    </w:r>
  </w:p>
  <w:p>
    <w:pPr>
      <w:pStyle w:val="Header"/>
      <w:tabs>
        <w:tab w:val="clear" w:pos="8640"/>
        <w:tab w:val="center" w:pos="4320" w:leader="none"/>
        <w:tab w:val="left" w:pos="6480" w:leader="none"/>
      </w:tabs>
      <w:rPr>
        <w:b/>
        <w:bCs/>
      </w:rPr>
    </w:pPr>
    <w:r>
      <w:rPr>
        <w:b/>
        <w:bCs/>
      </w:rPr>
      <w:t>No changes made to the March 28, 2000 version.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CG Times (W1);Times New Roman" w:cs="CG Times (W1);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u w:val="single"/>
    </w:rPr>
  </w:style>
  <w:style w:type="paragraph" w:styleId="Heading2">
    <w:name w:val="heading 2"/>
    <w:basedOn w:val="Normal"/>
    <w:next w:val="Normal"/>
    <w:qFormat/>
    <w:pPr>
      <w:keepNext w:val="true"/>
      <w:numPr>
        <w:ilvl w:val="1"/>
        <w:numId w:val="1"/>
      </w:numPr>
      <w:ind w:hanging="0" w:start="0" w:end="-108"/>
      <w:outlineLvl w:val="1"/>
    </w:pPr>
    <w:rPr>
      <w:rFonts w:ascii="Arial" w:hAnsi="Arial" w:eastAsia="Arial" w:cs="Arial"/>
      <w:b/>
      <w:bCs/>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2000-05-25T20:54:00Z</dcterms:created>
  <dc:creator>A Valued Microsoft Customer</dc:creator>
  <dc:description/>
  <dc:language>en-CA</dc:language>
  <cp:lastModifiedBy>A Valued Microsoft Customer</cp:lastModifiedBy>
  <cp:lastPrinted>2000-03-27T14:38:00Z</cp:lastPrinted>
  <dcterms:modified xsi:type="dcterms:W3CDTF">2000-05-25T20:54:00Z</dcterms:modified>
  <cp:revision>2</cp:revision>
  <dc:subject/>
  <dc:title>ATTACHMENT D</dc:title>
</cp:coreProperties>
</file>