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CSUF Substation </w:t>
      </w:r>
    </w:p>
    <w:p>
      <w:pPr>
        <w:pStyle w:val="Normal"/>
        <w:rPr/>
      </w:pPr>
      <w:r>
        <w:rPr/>
        <w:t>Chain of Events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CSUF has been indicating for years to the energy supplier community that a voltage buy up opportunity existed for the campus. The campus main service is currently at primary, i.e. 12 kV, level.  With a current peak demand of 8 mW and planned near-term growth, a transmission level substation is a feasible option as it would decrease the unit cost per kWh by a significant percentage.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Savings resulting from the voltage buy-up were estimated by the local serving utility, PG&amp;E, in the order of approximately $600,000 per year.  During August 1998 CSUF received an unsolicited bid from PG&amp;E to realize the transfer to the transmission rate. PG&amp;E’s proposal, submitted under its filed Electric Rule 2, Special Facilities, included modifications to the serving substation on Bullard Avenue, Fresno, and a dedicated distribution line from the substation to the existing campus electric service point.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specified under Rule 2, CSUF would not incur up front payments, but rather would have monthly payments in perpetuity subject to an indexed interest rate. PG&amp;E estimated the payments to be in the order of $22,500 per month. PG&amp;E’s proposal effectively would allow CSUF to ‘rent’ the special facilities as long as needed without ever becoming the asset owner. Moreover, if CSUF exercised the Rule 2 buy-off option, i.e. a NPV of the future payment stream, the system improvements would remain vested in PG&amp;E.  Under PG&amp;E’s proposal, the total CSUF exposure over 30 years would approximate $8,100,000.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Enron was made aware of the PG&amp;E proposal by CSUF and offered a counter solution during November 1998. Enron provided a true financial analysis by comparing the PG&amp;E route versus a third party financed option with Enron as the general contractor. The analysis clearly showed a major advantage of going with an Enron-like financial structure, as it would reduce CSUF’s exposure by almost $5 Million over the same 30 year period. CSUF then decided to issue an RFP in December 1998 to ensure proposal compatibility.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a prospective responding party, Enron initiated a dialogue with PG&amp;E to obtain cost estimates for work to be performed by PG&amp;E to accommodate the eventual interconnection. At first, PG&amp;E brushed off Enron’s requests for detailed information. Enron’s next approach entailed a detailed request for costs associated with a specific routing of the transmission line extension, work to be performed within PG&amp;E's substation, and other associated utility expenditures.  Despite PG&amp;E attempts to delay responses to Enron’s requests, and PG&amp;E’s requests to postpone the RFP due date, Enron was able to extract sufficient information from PG&amp;E’s cost estimates to prepare a comprehensive proposal that was submitted in February 1999. CSUF awarded the substation project to Enron based upon the financial advantages and a commitment to complete the project within 275 days of the Notice to Proceed date.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After going through several iterations, CSUF and Enron signed a Standard Agreement on October 6, 1999 formalizing our relationship and authorizing Enron to act as CSUF’s agent in PG&amp;E’s interconnection proceedings. The agreement consists of a firm substation construction cost ($1,876,000), and an allowance ($1,099,000) for PG&amp;E-dictated expenditures associated with the interconnection with their system. The allowance was derived from initial cost estimates provided by PG&amp;E during the proposal preparation stage.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Immediately after October 6, Enron held meetings with CSUF and PG&amp;E, and submitted single-line drawings to PG&amp;E to request detailed cost figures for the interconnection. While PG&amp;E was given ample time to respond, and had been given sufficient background information, PG&amp;E finally replied on January 12, 2000. The formal reply indicated that the interconnection costs had increased to $3.3 Million. This figure includes all taxes (34%) and a one-time Cost-of-Ownership charge. Enron requested a justification for the $2.2 Million increase and was told by PG&amp;E that; 1)design standards and protection schemes dictated the increase; 2) they had made a mistake in their prior estimate; and 3) that the less expensive interconnection options provided earlier were no longer deemed feasible.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Enron then requested a detailed cost breakdown of the $3.3 Million figure which PG&amp;E submitted. Enron proceeded with an RFQ for the same engineering and construction services that was issued to three contractors who routinely perform such services for PG&amp;E. The following is a synopsis of the cost comparisons: 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      </w:t>
      </w:r>
    </w:p>
    <w:tbl>
      <w:tblPr>
        <w:tblW w:w="810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1530"/>
        <w:gridCol w:w="2700"/>
        <w:gridCol w:w="1350"/>
      </w:tblGrid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Item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By PG&amp;E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By Enron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Difference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Transmission Line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$512,208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$316,152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$196,152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Substation Engineering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$179,776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$36,750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$143,026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Substation Removal &amp; Distribution Relocation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$63,985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 Charge or Included with Other Line Items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$63,985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Substation Work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$723,220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$273,972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$449,248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$1,479,189*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$626,874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$852,411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  <w:t>*Exclusive of ITCC taxes and Cost-of-Ownership Charge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Enron believes that PG&amp;E has not made a serious attempt to keep the interconnection cost to a minimum, and indeed it appears that the costs are out of line with industry standards. Enron and CSUF were informed by PG&amp;E at the last meeting on March 7, 2000 that they have driven their prices down as far as possible and that no further price review on PG&amp;E’s part is warranted.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On behalf of CSUF, Enron intends to escalate the interconnection pricing issue within the Enron Corp organization, PG&amp;E Corporation, and if required the California Public Utilities Commission. An escalation plan is under development as of March 8, 2000. It includes possible assistance from CSUF through its most appropriate channels.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  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2000-03-10T15:43:00Z</dcterms:created>
  <dc:creator>dvanulde</dc:creator>
  <dc:description/>
  <dc:language>en-CA</dc:language>
  <cp:lastModifiedBy>dvanulde</cp:lastModifiedBy>
  <cp:lastPrinted>2000-03-10T15:40:00Z</cp:lastPrinted>
  <dcterms:modified xsi:type="dcterms:W3CDTF">2000-03-10T21:17:00Z</dcterms:modified>
  <cp:revision>2</cp:revision>
  <dc:subject/>
  <dc:title>CSUF Substation </dc:title>
</cp:coreProperties>
</file>