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vanish/>
          <w:color w:val="FF0000"/>
          <w:sz w:val="24"/>
        </w:rPr>
        <w:t>Originally written for IFR 25</w:t>
      </w:r>
      <w:r>
        <w:rPr>
          <w:rFonts w:cs="Arial" w:ascii="Arial" w:hAnsi="Arial"/>
          <w:vanish/>
          <w:color w:val="FF0000"/>
          <w:sz w:val="24"/>
          <w:vertAlign w:val="superscript"/>
        </w:rPr>
        <w:t>th</w:t>
      </w:r>
      <w:r>
        <w:rPr>
          <w:rFonts w:cs="Arial" w:ascii="Arial" w:hAnsi="Arial"/>
          <w:vanish/>
          <w:color w:val="FF0000"/>
          <w:sz w:val="24"/>
        </w:rPr>
        <w:t xml:space="preserve"> Anniversary Edition</w:t>
      </w:r>
    </w:p>
    <w:p>
      <w:pPr>
        <w:pStyle w:val="Normal"/>
        <w:jc w:val="center"/>
        <w:rPr>
          <w:rFonts w:ascii="Arial" w:hAnsi="Arial" w:cs="Arial"/>
          <w:sz w:val="24"/>
        </w:rPr>
      </w:pPr>
      <w:r>
        <w:rPr>
          <w:rFonts w:cs="Arial" w:ascii="Arial" w:hAnsi="Arial"/>
          <w:vanish/>
          <w:color w:val="FF0000"/>
          <w:sz w:val="24"/>
        </w:rPr>
        <w:t>Best Bank for the Last 25 Years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pPr>
      <w:r>
        <w:rPr/>
        <w:t>The last 25 years have been marked by revolutionary changes in the financial markets, and Credit Suisse First Boston, throughout its own evolution, has been at the vanguard of those changes.</w:t>
      </w:r>
    </w:p>
    <w:p>
      <w:pPr>
        <w:pStyle w:val="Normal"/>
        <w:rPr>
          <w:rFonts w:ascii="Arial" w:hAnsi="Arial" w:cs="Arial"/>
          <w:sz w:val="24"/>
        </w:rPr>
      </w:pPr>
      <w:r>
        <w:rPr>
          <w:rFonts w:cs="Arial" w:ascii="Arial" w:hAnsi="Arial"/>
          <w:sz w:val="24"/>
        </w:rPr>
      </w:r>
    </w:p>
    <w:p>
      <w:pPr>
        <w:pStyle w:val="BodyText"/>
        <w:rPr/>
      </w:pPr>
      <w:r>
        <w:rPr/>
        <w:t>The entire firm adopted the name Credit Suisse First Boston in 1996, although CSFB had been formed in 1978 as the European arm of First Boston in cooperation with Credit Suisse.  CSFB is now part of one of the world's largest financial institutions, Credit Suisse Group, and is one of the world's largest securities firms.  The firm has been providing investment-banking services for its clients since The First Boston Corporation separated from The First National Bank of Boston in 1934 as required by the Glass-Steagall Act in the US.  Indeed, in 1934 First Boston became the first publicly held investment bank in the US.</w:t>
      </w:r>
    </w:p>
    <w:p>
      <w:pPr>
        <w:pStyle w:val="BodyText"/>
        <w:rPr/>
      </w:pPr>
      <w:r>
        <w:rPr/>
      </w:r>
    </w:p>
    <w:p>
      <w:pPr>
        <w:pStyle w:val="BodyText"/>
        <w:rPr/>
      </w:pPr>
      <w:r>
        <w:rPr/>
        <w:t xml:space="preserve">The changes over the last 25 years have indeed been dramatic, and CSFB has been involved in many of the most notable innovations and transactions of this era.  For example, in 1977, First Boston lead managed one of the three largest equity deals of the year </w:t>
      </w:r>
      <w:r>
        <w:rPr>
          <w:rFonts w:eastAsia="Symbol" w:cs="Symbol" w:ascii="Symbol" w:hAnsi="Symbol"/>
        </w:rPr>
        <w:sym w:font="Symbol" w:char="f02d"/>
      </w:r>
      <w:r>
        <w:rPr/>
        <w:t xml:space="preserve"> a $47 million issue for Cummins Engine.  Twenty years later, CSFB served as joint global coordinator for the $10 billion privatization of Telstra </w:t>
      </w:r>
      <w:r>
        <w:rPr>
          <w:rFonts w:eastAsia="Symbol" w:cs="Symbol" w:ascii="Symbol" w:hAnsi="Symbol"/>
        </w:rPr>
        <w:sym w:font="Symbol" w:char="f02d"/>
      </w:r>
      <w:r>
        <w:rPr/>
        <w:t xml:space="preserve"> the largest IPO of 1997.  In 1988, in the midst of the first M&amp;A boom of the last 25 years, one of CSFB’s largest transactions was advising Grand Metropolitan on its $7.2 billion acquisition of Pillsbury.  Ten years later, in the midst of the second M&amp;A boom, CSFB’s largest assignment involved advising AT&amp;T on its landmark $70 billion acquisition of TCI.</w:t>
      </w:r>
    </w:p>
    <w:p>
      <w:pPr>
        <w:pStyle w:val="BodyText"/>
        <w:rPr/>
      </w:pPr>
      <w:r>
        <w:rPr/>
      </w:r>
    </w:p>
    <w:p>
      <w:pPr>
        <w:pStyle w:val="BodyText"/>
        <w:rPr/>
      </w:pPr>
      <w:r>
        <w:rPr/>
        <w:t>A fundamental tenet of Credit Suisse First Boston over the last 25 years has been its commitment to long-term relationships with its clients.  For example, in 1980 CSFB advised Union Pacific on its $1 billion merger with Missouri-Pacific.  Fifteen years later, we advised Union Pacific on its $5.4 billion acquisition of Southern Pacific.  Similarly, CSFB’s relationship with Chrysler spanned 30 years, including helping the company recover from its flirtation with bankruptcy all the way through its groundbreaking merger with Daimler-Benz.  The firm helped DuPont buy Conoco back in 1981 and joint lead managed a $4 billion bond offering for Conoco as part of its separation from DuPont in 1999.  The firm advised the Government of Argentina on the privatization of YPF and continues to advise the company through its merger agreement with Repsol.  Also, CSFB handled all four tranches of ENI’s privatization, which over the course of two-and-a-half years raised $25 billion for the Republic of Italy.</w:t>
      </w:r>
    </w:p>
    <w:p>
      <w:pPr>
        <w:pStyle w:val="BodyText"/>
        <w:rPr/>
      </w:pPr>
      <w:r>
        <w:rPr/>
      </w:r>
    </w:p>
    <w:p>
      <w:pPr>
        <w:pStyle w:val="BodyText"/>
        <w:rPr/>
      </w:pPr>
      <w:r>
        <w:rPr/>
        <w:t xml:space="preserve">CSFB has always been at the forefront of burgeoning trends.  In 1980, CSFB advised on the then-largest-ever leveraged buyout, the $448 million acquisition of Congoleum by Fibic Corporation.  CSFB also advised on the only other successful leveraged buyout of a publicly held company that year </w:t>
      </w:r>
      <w:r>
        <w:rPr>
          <w:rFonts w:eastAsia="Symbol" w:cs="Symbol" w:ascii="Symbol" w:hAnsi="Symbol"/>
        </w:rPr>
        <w:sym w:font="Symbol" w:char="f02d"/>
      </w:r>
      <w:r>
        <w:rPr/>
        <w:t xml:space="preserve"> Terson’s acquisition of Ward Foods.  LBO’s subsequently became one of the trademarks of the decade.  Indeed, CSFB’s M&amp;A Group virtually defined the M&amp;A market of the 1980’s, devising many of the innovative strategies that became commonplace and that are still in use today. </w:t>
      </w:r>
    </w:p>
    <w:p>
      <w:pPr>
        <w:pStyle w:val="BodyText"/>
        <w:rPr/>
      </w:pPr>
      <w:r>
        <w:rPr/>
      </w:r>
    </w:p>
    <w:p>
      <w:pPr>
        <w:pStyle w:val="BodyText"/>
        <w:rPr/>
      </w:pPr>
      <w:r>
        <w:rPr/>
        <w:t>Project finance represents another area in which CSFB has defined the role of an investment bank.  CSFB’s Utility Group dates back to the firm’s founding in 1934.  The combination of project finance and utility expertise has made the firm preeminent as a financial advisor on energy projects.  In 1980, for example, CSFB helped project finance clients secure more than $2.4 billion.  Since then, the firm has remained a consistent leader in project finance, regularly structuring the most complex and challenging transactions.</w:t>
      </w:r>
    </w:p>
    <w:p>
      <w:pPr>
        <w:pStyle w:val="BodyText"/>
        <w:rPr/>
      </w:pPr>
      <w:r>
        <w:rPr/>
      </w:r>
    </w:p>
    <w:p>
      <w:pPr>
        <w:pStyle w:val="BodyText"/>
        <w:rPr/>
      </w:pPr>
      <w:r>
        <w:rPr/>
        <w:t>Trading of securities, of course, has been an integral part of the firm’s business.  In 1981, First Boston’s then-new headquarters housed the largest trading floor in the US.  Today, CSFB ranks third in terms of share volume on the New York Stock Exchange and among the leaders on the London exchange.</w:t>
      </w:r>
    </w:p>
    <w:p>
      <w:pPr>
        <w:pStyle w:val="BodyText"/>
        <w:rPr/>
      </w:pPr>
      <w:r>
        <w:rPr/>
      </w:r>
    </w:p>
    <w:p>
      <w:pPr>
        <w:pStyle w:val="BodyText"/>
        <w:rPr/>
      </w:pPr>
      <w:r>
        <w:rPr/>
        <w:t>Through Credit Suisse Financial Products (CSFP), which has now been integrated into CSFB, the firm remains a recognized leader in derivatives, consistently developing new innovations and strategies.  In many ways, the advancement of the financial derivatives market has been mirrored by the expansion of CSFP.   As the needs of investors, corporations and governments grew from solutions based on simple interest rate, currency, and equity products into sophisticated, custom-tailored financial packages, the firm has consistently met these demands with sophisticated risk management skills and products.</w:t>
      </w:r>
    </w:p>
    <w:p>
      <w:pPr>
        <w:pStyle w:val="BodyText"/>
        <w:rPr/>
      </w:pPr>
      <w:r>
        <w:rPr/>
      </w:r>
    </w:p>
    <w:p>
      <w:pPr>
        <w:pStyle w:val="BodyText"/>
        <w:rPr/>
      </w:pPr>
      <w:r>
        <w:rPr/>
        <w:t>Perhaps the most notable trend over the last 25 years has been globalization of the capital markets.  The firm recognized long ago that companies competing in a dynamic global economy need a wide breadth of investment-banking services to achieve their global objectives.  With that in mind, the firm built and maintained an investment-banking business with the capabilities to provide unparalleled services to our clients around the world.</w:t>
      </w:r>
    </w:p>
    <w:p>
      <w:pPr>
        <w:pStyle w:val="BodyText"/>
        <w:rPr/>
      </w:pPr>
      <w:r>
        <w:rPr/>
      </w:r>
    </w:p>
    <w:p>
      <w:pPr>
        <w:pStyle w:val="BodyText"/>
        <w:rPr/>
      </w:pPr>
      <w:r>
        <w:rPr/>
        <w:t xml:space="preserve">This global presence has not been limited to the established markets.  In the Emerging Markets, the firm rates as the most balanced of any investment bank, with a leading presence in Latin America (recently bolstered by the firm’s acquisition of Banco Garantia), Central and Eastern Europe, and Asia.  In volatile markets, the firm has demonstrated a continuing commitment to serving clients around the world.  While most banks scaled back in the midst of economic turmoil, the firm maintained its global position and even expanded. </w:t>
      </w:r>
    </w:p>
    <w:p>
      <w:pPr>
        <w:pStyle w:val="BodyText"/>
        <w:rPr/>
      </w:pPr>
      <w:r>
        <w:rPr/>
      </w:r>
    </w:p>
    <w:p>
      <w:pPr>
        <w:pStyle w:val="BodyText"/>
        <w:rPr/>
      </w:pPr>
      <w:r>
        <w:rPr/>
        <w:t>As governments around the world have sought to reform their economies and privatize state-owned companies, the firm has produced an unmatched record in the field of privatizations, both in the equity markets and through sales to third-party buyers.  The firm has consistently provided governments the world over with the necessary experience to handle both the financial challenges and political sensitivities of these assignments.</w:t>
      </w:r>
    </w:p>
    <w:p>
      <w:pPr>
        <w:pStyle w:val="BodyText"/>
        <w:rPr/>
      </w:pPr>
      <w:r>
        <w:rPr/>
      </w:r>
    </w:p>
    <w:p>
      <w:pPr>
        <w:pStyle w:val="BodyText"/>
        <w:rPr/>
      </w:pPr>
      <w:r>
        <w:rPr/>
        <w:t>Our track record of advising on notable international transactions and developing innovative financial products the world over demonstrates the core strengths of Credit Suisse First Boston.  In short, the firm offers its clients what few other investment banks can: the widest possible array of investment-banking products backed by a strong balance sheet and a real presence in every major financial market in the world.</w:t>
      </w:r>
    </w:p>
    <w:p>
      <w:pPr>
        <w:pStyle w:val="BodyText"/>
        <w:rPr/>
      </w:pPr>
      <w:r>
        <w:rPr/>
      </w:r>
      <w:r>
        <w:br w:type="page"/>
      </w:r>
    </w:p>
    <w:p>
      <w:pPr>
        <w:pStyle w:val="BodyText"/>
        <w:jc w:val="center"/>
        <w:rPr>
          <w:b/>
        </w:rPr>
      </w:pPr>
      <w:r>
        <w:rPr>
          <w:b/>
        </w:rPr>
        <w:t>Innovation</w:t>
      </w:r>
    </w:p>
    <w:p>
      <w:pPr>
        <w:pStyle w:val="BodyText"/>
        <w:rPr>
          <w:b/>
        </w:rPr>
      </w:pPr>
      <w:r>
        <w:rPr>
          <w:b/>
        </w:rPr>
      </w:r>
    </w:p>
    <w:p>
      <w:pPr>
        <w:pStyle w:val="BodyText"/>
        <w:rPr/>
      </w:pPr>
      <w:r>
        <w:rPr/>
        <w:t>Over the last 25 years, Credit Suisse First Boston has repeatedly demonstrated a unique ability to develop cutting-edge financial products and transaction structures for the benefit of its clients.  Our professionals consistently devise financial products that are at the forefront of tax, regulatory and accounting standards.  Some of CSFB’s notable innovations include:</w:t>
      </w:r>
    </w:p>
    <w:p>
      <w:pPr>
        <w:pStyle w:val="BodyText"/>
        <w:rPr/>
      </w:pPr>
      <w:r>
        <w:rPr/>
      </w:r>
    </w:p>
    <w:p>
      <w:pPr>
        <w:pStyle w:val="BodyText"/>
        <w:numPr>
          <w:ilvl w:val="0"/>
          <w:numId w:val="2"/>
        </w:numPr>
        <w:spacing w:before="0" w:after="120"/>
        <w:jc w:val="both"/>
        <w:rPr/>
      </w:pPr>
      <w:r>
        <w:rPr/>
        <w:t>Issuance of the first Eurobond</w:t>
      </w:r>
    </w:p>
    <w:p>
      <w:pPr>
        <w:pStyle w:val="BodyText"/>
        <w:numPr>
          <w:ilvl w:val="0"/>
          <w:numId w:val="2"/>
        </w:numPr>
        <w:spacing w:before="0" w:after="120"/>
        <w:jc w:val="both"/>
        <w:rPr/>
      </w:pPr>
      <w:r>
        <w:rPr/>
        <w:t>Creation of the first mortgage-backed security</w:t>
      </w:r>
    </w:p>
    <w:p>
      <w:pPr>
        <w:pStyle w:val="BodyText"/>
        <w:numPr>
          <w:ilvl w:val="0"/>
          <w:numId w:val="2"/>
        </w:numPr>
        <w:spacing w:before="0" w:after="120"/>
        <w:jc w:val="both"/>
        <w:rPr/>
      </w:pPr>
      <w:r>
        <w:rPr/>
        <w:t>The first public issue zero-coupon notes in both the US and Europe</w:t>
      </w:r>
    </w:p>
    <w:p>
      <w:pPr>
        <w:pStyle w:val="BodyText"/>
        <w:numPr>
          <w:ilvl w:val="0"/>
          <w:numId w:val="2"/>
        </w:numPr>
        <w:spacing w:before="0" w:after="120"/>
        <w:jc w:val="both"/>
        <w:rPr/>
      </w:pPr>
      <w:r>
        <w:rPr/>
        <w:t>Development of the Rule 144a structure and the first issuance of a security under that rule</w:t>
      </w:r>
    </w:p>
    <w:p>
      <w:pPr>
        <w:pStyle w:val="BodyText"/>
        <w:numPr>
          <w:ilvl w:val="0"/>
          <w:numId w:val="2"/>
        </w:numPr>
        <w:spacing w:before="0" w:after="120"/>
        <w:jc w:val="both"/>
        <w:rPr/>
      </w:pPr>
      <w:r>
        <w:rPr/>
        <w:t>Creation of the first public asset-backed security</w:t>
      </w:r>
    </w:p>
    <w:p>
      <w:pPr>
        <w:pStyle w:val="BodyText"/>
        <w:numPr>
          <w:ilvl w:val="0"/>
          <w:numId w:val="2"/>
        </w:numPr>
        <w:spacing w:before="0" w:after="120"/>
        <w:jc w:val="both"/>
        <w:rPr/>
      </w:pPr>
      <w:r>
        <w:rPr/>
        <w:t>A leading role in the derivatives market through Credit Suisse Financial Products</w:t>
      </w:r>
    </w:p>
    <w:p>
      <w:pPr>
        <w:pStyle w:val="BodyText"/>
        <w:numPr>
          <w:ilvl w:val="0"/>
          <w:numId w:val="2"/>
        </w:numPr>
        <w:spacing w:before="0" w:after="120"/>
        <w:jc w:val="both"/>
        <w:rPr/>
      </w:pPr>
      <w:r>
        <w:rPr/>
        <w:t>Development of the first tracking or “letter” stock</w:t>
      </w:r>
    </w:p>
    <w:p>
      <w:pPr>
        <w:pStyle w:val="BodyText"/>
        <w:numPr>
          <w:ilvl w:val="0"/>
          <w:numId w:val="2"/>
        </w:numPr>
        <w:spacing w:before="0" w:after="120"/>
        <w:jc w:val="both"/>
        <w:rPr/>
      </w:pPr>
      <w:r>
        <w:rPr/>
        <w:t>Opening of the European high yield market, including the first-ever Spanish, high-yield issue and the first-ever sterling high-yield eurobond</w:t>
      </w:r>
    </w:p>
    <w:p>
      <w:pPr>
        <w:pStyle w:val="BodyText"/>
        <w:numPr>
          <w:ilvl w:val="0"/>
          <w:numId w:val="2"/>
        </w:numPr>
        <w:spacing w:before="0" w:after="120"/>
        <w:jc w:val="both"/>
        <w:rPr/>
      </w:pPr>
      <w:r>
        <w:rPr/>
        <w:t>The first HIGH TIDES – Remarketable Term Income Deferrable Equity Securities</w:t>
      </w:r>
    </w:p>
    <w:p>
      <w:pPr>
        <w:pStyle w:val="BodyText"/>
        <w:numPr>
          <w:ilvl w:val="0"/>
          <w:numId w:val="2"/>
        </w:numPr>
        <w:spacing w:before="0" w:after="120"/>
        <w:jc w:val="both"/>
        <w:rPr/>
      </w:pPr>
      <w:r>
        <w:rPr/>
        <w:t>The first “bought” deal in Europe</w:t>
      </w:r>
    </w:p>
    <w:p>
      <w:pPr>
        <w:pStyle w:val="BodyText"/>
        <w:numPr>
          <w:ilvl w:val="0"/>
          <w:numId w:val="2"/>
        </w:numPr>
        <w:spacing w:before="0" w:after="120"/>
        <w:jc w:val="both"/>
        <w:rPr/>
      </w:pPr>
      <w:r>
        <w:rPr/>
        <w:t>The first floating rate note</w:t>
      </w:r>
    </w:p>
    <w:p>
      <w:pPr>
        <w:pStyle w:val="BodyText"/>
        <w:numPr>
          <w:ilvl w:val="0"/>
          <w:numId w:val="2"/>
        </w:numPr>
        <w:spacing w:before="0" w:after="120"/>
        <w:jc w:val="both"/>
        <w:rPr/>
      </w:pPr>
      <w:r>
        <w:rPr/>
        <w:t>The first equity-linked issue in the Euromarket</w:t>
      </w:r>
    </w:p>
    <w:p>
      <w:pPr>
        <w:pStyle w:val="BodyText"/>
        <w:numPr>
          <w:ilvl w:val="0"/>
          <w:numId w:val="2"/>
        </w:numPr>
        <w:spacing w:before="0" w:after="120"/>
        <w:jc w:val="both"/>
        <w:rPr/>
      </w:pPr>
      <w:r>
        <w:rPr/>
        <w:t>The first adjustable rate preferred stock</w:t>
      </w:r>
    </w:p>
    <w:p>
      <w:pPr>
        <w:pStyle w:val="BodyText"/>
        <w:numPr>
          <w:ilvl w:val="0"/>
          <w:numId w:val="2"/>
        </w:numPr>
        <w:spacing w:before="0" w:after="120"/>
        <w:jc w:val="both"/>
        <w:rPr/>
      </w:pPr>
      <w:r>
        <w:rPr/>
        <w:t>The first leveraged debt-for-equity swaps</w:t>
      </w:r>
    </w:p>
    <w:p>
      <w:pPr>
        <w:pStyle w:val="BodyText"/>
        <w:numPr>
          <w:ilvl w:val="0"/>
          <w:numId w:val="2"/>
        </w:numPr>
        <w:spacing w:before="0" w:after="120"/>
        <w:jc w:val="both"/>
        <w:rPr/>
      </w:pPr>
      <w:r>
        <w:rPr/>
        <w:t>The first debt issue backed by computer leases</w:t>
      </w:r>
    </w:p>
    <w:p>
      <w:pPr>
        <w:pStyle w:val="BodyText"/>
        <w:numPr>
          <w:ilvl w:val="0"/>
          <w:numId w:val="2"/>
        </w:numPr>
        <w:spacing w:before="0" w:after="120"/>
        <w:jc w:val="both"/>
        <w:rPr/>
      </w:pPr>
      <w:r>
        <w:rPr/>
        <w:t>The first taxable new issues for municipal borrowers</w:t>
      </w:r>
    </w:p>
    <w:p>
      <w:pPr>
        <w:pStyle w:val="BodyText"/>
        <w:numPr>
          <w:ilvl w:val="0"/>
          <w:numId w:val="2"/>
        </w:numPr>
        <w:spacing w:before="0" w:after="120"/>
        <w:jc w:val="both"/>
        <w:rPr/>
      </w:pPr>
      <w:r>
        <w:rPr/>
        <w:t>The first oil-indexed note that linked interest rates to the price of oil</w:t>
      </w:r>
    </w:p>
    <w:p>
      <w:pPr>
        <w:pStyle w:val="BodyText"/>
        <w:numPr>
          <w:ilvl w:val="0"/>
          <w:numId w:val="2"/>
        </w:numPr>
        <w:spacing w:before="0" w:after="120"/>
        <w:jc w:val="both"/>
        <w:rPr/>
      </w:pPr>
      <w:r>
        <w:rPr/>
        <w:t>The first public credit-card receivable transaction</w:t>
      </w:r>
    </w:p>
    <w:p>
      <w:pPr>
        <w:pStyle w:val="BodyText"/>
        <w:numPr>
          <w:ilvl w:val="0"/>
          <w:numId w:val="2"/>
        </w:numPr>
        <w:spacing w:before="0" w:after="120"/>
        <w:jc w:val="both"/>
        <w:rPr/>
      </w:pPr>
      <w:r>
        <w:rPr/>
        <w:t>The first global ordinary share</w:t>
      </w:r>
    </w:p>
    <w:p>
      <w:pPr>
        <w:pStyle w:val="BodyText"/>
        <w:numPr>
          <w:ilvl w:val="0"/>
          <w:numId w:val="2"/>
        </w:numPr>
        <w:spacing w:before="0" w:after="120"/>
        <w:jc w:val="both"/>
        <w:rPr/>
      </w:pPr>
      <w:r>
        <w:rPr/>
        <w:t>First cross-border merger between a German and US company</w:t>
      </w:r>
    </w:p>
    <w:p>
      <w:pPr>
        <w:pStyle w:val="BodyText"/>
        <w:numPr>
          <w:ilvl w:val="0"/>
          <w:numId w:val="2"/>
        </w:numPr>
        <w:spacing w:before="0" w:after="120"/>
        <w:jc w:val="both"/>
        <w:rPr/>
      </w:pPr>
      <w:r>
        <w:rPr/>
        <w:t>First step-up convertible debt offering (SIRENs</w:t>
      </w:r>
      <w:r>
        <w:rPr>
          <w:vertAlign w:val="superscript"/>
        </w:rPr>
        <w:t>TM</w:t>
      </w:r>
      <w:r>
        <w:rPr/>
        <w:t>)</w:t>
      </w:r>
    </w:p>
    <w:p>
      <w:pPr>
        <w:pStyle w:val="BodyText"/>
        <w:numPr>
          <w:ilvl w:val="0"/>
          <w:numId w:val="2"/>
        </w:numPr>
        <w:spacing w:before="0" w:after="120"/>
        <w:jc w:val="both"/>
        <w:rPr/>
      </w:pPr>
      <w:r>
        <w:rPr/>
        <w:t>First IPO of a French company directly on the US market (Coflexip); first IPO of an Australian company with a concurrent NYSE listing (Telstra); first Finnish listing on the NYSE (Nokia)</w:t>
      </w:r>
    </w:p>
    <w:p>
      <w:pPr>
        <w:pStyle w:val="BodyText"/>
        <w:numPr>
          <w:ilvl w:val="0"/>
          <w:numId w:val="2"/>
        </w:numPr>
        <w:spacing w:before="0" w:after="120"/>
        <w:jc w:val="both"/>
        <w:rPr/>
      </w:pPr>
      <w:r>
        <w:rPr/>
        <w:t>Development of the “dual track” concurrent divestiture/IPO process</w:t>
      </w:r>
    </w:p>
    <w:p>
      <w:pPr>
        <w:pStyle w:val="BodyText"/>
        <w:numPr>
          <w:ilvl w:val="0"/>
          <w:numId w:val="2"/>
        </w:numPr>
        <w:spacing w:before="0" w:after="120"/>
        <w:jc w:val="both"/>
        <w:rPr/>
      </w:pPr>
      <w:r>
        <w:rPr/>
        <w:t xml:space="preserve">Development of Synthetic convertible bonds </w:t>
      </w:r>
    </w:p>
    <w:p>
      <w:pPr>
        <w:pStyle w:val="BodyText"/>
        <w:numPr>
          <w:ilvl w:val="0"/>
          <w:numId w:val="2"/>
        </w:numPr>
        <w:spacing w:before="0" w:after="120"/>
        <w:jc w:val="both"/>
        <w:rPr/>
      </w:pPr>
      <w:r>
        <w:rPr/>
        <w:t>Development of the Leveraged Executive Asset Plan (“LEAP”), a forward-looking, tax-efficient product that aligns executives’ remuneration with shareholder interest</w:t>
      </w:r>
    </w:p>
    <w:p>
      <w:pPr>
        <w:pStyle w:val="BodyText"/>
        <w:numPr>
          <w:ilvl w:val="0"/>
          <w:numId w:val="2"/>
        </w:numPr>
        <w:spacing w:before="0" w:after="120"/>
        <w:jc w:val="both"/>
        <w:rPr/>
      </w:pPr>
      <w:r>
        <w:rPr/>
        <w:t>Accelerated Share Repurchases</w:t>
      </w:r>
    </w:p>
    <w:p>
      <w:pPr>
        <w:pStyle w:val="BodyText"/>
        <w:numPr>
          <w:ilvl w:val="0"/>
          <w:numId w:val="2"/>
        </w:numPr>
        <w:spacing w:before="0" w:after="120"/>
        <w:jc w:val="both"/>
        <w:rPr/>
      </w:pPr>
      <w:r>
        <w:rPr/>
        <w:t>Adoption of EVA (Economic Value-Added) analysis in equity research</w:t>
      </w:r>
    </w:p>
    <w:p>
      <w:pPr>
        <w:pStyle w:val="BodyText"/>
        <w:rPr/>
      </w:pPr>
      <w:r>
        <w:rPr/>
      </w:r>
      <w:r>
        <w:br w:type="page"/>
      </w:r>
    </w:p>
    <w:p>
      <w:pPr>
        <w:pStyle w:val="BodyText"/>
        <w:jc w:val="center"/>
        <w:rPr>
          <w:b/>
        </w:rPr>
      </w:pPr>
      <w:r>
        <w:rPr>
          <w:b/>
        </w:rPr>
        <w:t>Timeline</w:t>
      </w:r>
    </w:p>
    <w:p>
      <w:pPr>
        <w:pStyle w:val="BodyText"/>
        <w:rPr>
          <w:b/>
        </w:rPr>
      </w:pPr>
      <w:r>
        <w:rPr>
          <w:b/>
        </w:rPr>
      </w:r>
    </w:p>
    <w:p>
      <w:pPr>
        <w:pStyle w:val="BodyText"/>
        <w:rPr/>
      </w:pPr>
      <w:r>
        <w:rPr/>
        <w:t>Some notable events over the last 25 years:</w:t>
      </w:r>
    </w:p>
    <w:p>
      <w:pPr>
        <w:pStyle w:val="BodyText"/>
        <w:rPr/>
      </w:pPr>
      <w:r>
        <w:rPr/>
      </w:r>
    </w:p>
    <w:p>
      <w:pPr>
        <w:pStyle w:val="BodyText"/>
        <w:rPr/>
      </w:pPr>
      <w:r>
        <w:rPr/>
        <w:t>1975: The firm raised $43 billion in capital for its clients, including 222 separate public utility stock and bonds issues worth about $12 billion.</w:t>
      </w:r>
    </w:p>
    <w:p>
      <w:pPr>
        <w:pStyle w:val="BodyText"/>
        <w:rPr/>
      </w:pPr>
      <w:r>
        <w:rPr/>
      </w:r>
    </w:p>
    <w:p>
      <w:pPr>
        <w:pStyle w:val="BodyText"/>
        <w:rPr/>
      </w:pPr>
      <w:r>
        <w:rPr/>
        <w:t xml:space="preserve">1976:  The firm arranged $2 billion in project financings.  The firm lead managed a $74 million common stock offering for Inland Steel, the first public equity offering by a major American steel company in 20 years.  The firm placed the then-largest ever debt issue by a foreign borrower in the history of the US </w:t>
      </w:r>
      <w:r>
        <w:rPr>
          <w:rFonts w:eastAsia="Symbol" w:cs="Symbol" w:ascii="Symbol" w:hAnsi="Symbol"/>
        </w:rPr>
        <w:sym w:font="Symbol" w:char="f02d"/>
      </w:r>
      <w:r>
        <w:rPr/>
        <w:t xml:space="preserve"> $1 billion for Hydro-Quebec.</w:t>
      </w:r>
    </w:p>
    <w:p>
      <w:pPr>
        <w:pStyle w:val="BodyText"/>
        <w:rPr/>
      </w:pPr>
      <w:r>
        <w:rPr/>
      </w:r>
    </w:p>
    <w:p>
      <w:pPr>
        <w:pStyle w:val="BodyText"/>
        <w:rPr/>
      </w:pPr>
      <w:r>
        <w:rPr/>
        <w:t>1977:  The firm lead managed one of the three largest equities deals of the year (Cummins Engine).  The firm advised on M&amp;A deals totaling $2.5 billion, including Kennecott Copper’s $567 million acquisition of Carborundum, which involved the then-largest successful cash tender offer ever.</w:t>
      </w:r>
    </w:p>
    <w:p>
      <w:pPr>
        <w:pStyle w:val="BodyText"/>
        <w:rPr/>
      </w:pPr>
      <w:r>
        <w:rPr/>
      </w:r>
    </w:p>
    <w:p>
      <w:pPr>
        <w:pStyle w:val="BodyText"/>
        <w:rPr/>
      </w:pPr>
      <w:r>
        <w:rPr/>
        <w:t>1978:  The firm established Credit Suisse First Boston as its European arm.  The firm completed a $450 million tax-exempt industrial financing for LOOP, a consortium of major oil companies.  The firm advised the hydro-electric power authority jointly owned by Argentina and Paraguay on the optimum method of raising $4.5 billion.</w:t>
      </w:r>
    </w:p>
    <w:p>
      <w:pPr>
        <w:pStyle w:val="BodyText"/>
        <w:rPr/>
      </w:pPr>
      <w:r>
        <w:rPr/>
      </w:r>
    </w:p>
    <w:p>
      <w:pPr>
        <w:pStyle w:val="BodyText"/>
        <w:rPr/>
      </w:pPr>
      <w:r>
        <w:rPr/>
        <w:t>1979:  The firm structured the then-largest LBO in history (Fibic’s buyout of Congoleum Corp.).  The firm lead managed three financings for Citicorp totaling $517 million in the then-largest Eurobond financing by a private borrower.  The firm played a leading role in raising more than $5 billion for the utility industry through 77 public offerings of bonds, preferred and common stock issues.</w:t>
      </w:r>
    </w:p>
    <w:p>
      <w:pPr>
        <w:pStyle w:val="BodyText"/>
        <w:rPr/>
      </w:pPr>
      <w:r>
        <w:rPr/>
      </w:r>
    </w:p>
    <w:p>
      <w:pPr>
        <w:pStyle w:val="BodyText"/>
        <w:rPr/>
      </w:pPr>
      <w:r>
        <w:rPr/>
        <w:t>1980:  The firm acted as financial advisor on the $1 billion merger of Union Pacific with Missouri-Pacific and on Union Pacific’s acquisition of Western Pacific Railroad.  The firm handled 15 Bell Telephone System financings, raising $4 billion and ranking the firm as the lead underwriter to the Bell companies.  The firm was involved in $7.3 billion in international financings.</w:t>
      </w:r>
    </w:p>
    <w:p>
      <w:pPr>
        <w:pStyle w:val="BodyText"/>
        <w:rPr/>
      </w:pPr>
      <w:r>
        <w:rPr/>
      </w:r>
    </w:p>
    <w:p>
      <w:pPr>
        <w:pStyle w:val="BodyText"/>
        <w:rPr/>
      </w:pPr>
      <w:r>
        <w:rPr/>
        <w:t>1981:  The firm’s new New York headquarters opens with the largest trading floor in the US.  The firm handles the first public issue of zero-coupon bonds in the US and European markets.  The firm advises on DuPont’s acquisition of Conoco and on DuPont’s $1.1 billion bond offering – the then-largest debt issue ever.</w:t>
      </w:r>
    </w:p>
    <w:p>
      <w:pPr>
        <w:pStyle w:val="BodyText"/>
        <w:rPr/>
      </w:pPr>
      <w:r>
        <w:rPr/>
      </w:r>
    </w:p>
    <w:p>
      <w:pPr>
        <w:pStyle w:val="BodyText"/>
        <w:rPr/>
      </w:pPr>
      <w:r>
        <w:rPr/>
        <w:t>1982:  The firm traded $1.8 trillion in securities.  The firm pioneered the interest-rate swap.  The firm advised on four of the five largest M&amp;A deals of the year.</w:t>
      </w:r>
    </w:p>
    <w:p>
      <w:pPr>
        <w:pStyle w:val="BodyText"/>
        <w:rPr/>
      </w:pPr>
      <w:r>
        <w:rPr/>
      </w:r>
    </w:p>
    <w:p>
      <w:pPr>
        <w:pStyle w:val="BodyText"/>
        <w:rPr/>
      </w:pPr>
      <w:r>
        <w:rPr/>
        <w:t>1983:  The firm celebrated its 50</w:t>
      </w:r>
      <w:r>
        <w:rPr>
          <w:vertAlign w:val="superscript"/>
        </w:rPr>
        <w:t>th</w:t>
      </w:r>
      <w:r>
        <w:rPr/>
        <w:t xml:space="preserve"> anniversary.  The firm lead managed five of the seven new issues valued in excess of $1 billion.  The firm advised Charter Financial on its merger with Financial Corp. of America, creating the largest savings and loan company in the US.  The firm issues the first Collateralized Mortgage Obligation.</w:t>
      </w:r>
    </w:p>
    <w:p>
      <w:pPr>
        <w:pStyle w:val="BodyText"/>
        <w:rPr/>
      </w:pPr>
      <w:r>
        <w:rPr/>
      </w:r>
    </w:p>
    <w:p>
      <w:pPr>
        <w:pStyle w:val="BodyText"/>
        <w:rPr/>
      </w:pPr>
      <w:r>
        <w:rPr/>
        <w:t>1984: The firm advised Nestle on its $3 billion acquisition of Carnation in the year’s largest international M&amp;A deal.  The firm became the first non-Japanese bank to lead manage a Euroyen issue.</w:t>
      </w:r>
    </w:p>
    <w:p>
      <w:pPr>
        <w:pStyle w:val="BodyText"/>
        <w:rPr/>
      </w:pPr>
      <w:r>
        <w:rPr/>
      </w:r>
    </w:p>
    <w:p>
      <w:pPr>
        <w:pStyle w:val="BodyText"/>
        <w:rPr/>
      </w:pPr>
      <w:r>
        <w:rPr/>
        <w:t>1985:  The firm lead managed a $2.5 billion floating rate note for the United Kingdom, the then-largest single issue in the capital markets.  The firm advised ABC on its $3.5 billion landmark sale to Capital Cities.</w:t>
      </w:r>
    </w:p>
    <w:p>
      <w:pPr>
        <w:pStyle w:val="BodyText"/>
        <w:rPr/>
      </w:pPr>
      <w:r>
        <w:rPr/>
      </w:r>
    </w:p>
    <w:p>
      <w:pPr>
        <w:pStyle w:val="BodyText"/>
        <w:rPr/>
      </w:pPr>
      <w:r>
        <w:rPr/>
        <w:t>1986:  The firm sole managed a $4 billion public offering of asset-backed securities for GMAC in the then-largest single corporate offering in the US capital markets.  The firm advised USX on its successful takeover defense.</w:t>
      </w:r>
    </w:p>
    <w:p>
      <w:pPr>
        <w:pStyle w:val="BodyText"/>
        <w:rPr/>
      </w:pPr>
      <w:r>
        <w:rPr/>
      </w:r>
    </w:p>
    <w:p>
      <w:pPr>
        <w:pStyle w:val="BodyText"/>
        <w:rPr/>
      </w:pPr>
      <w:r>
        <w:rPr/>
        <w:t>1987:  The firm provided takeover defense to Harcourt Brace Jovanovich and arranged its $3 billion recapitalization.  The firm advised Standard Oil on its sale to British Petroleum.  The firm lead managed the first international equity offering for a Spanish bank in the US for Banco Central.</w:t>
      </w:r>
    </w:p>
    <w:p>
      <w:pPr>
        <w:pStyle w:val="BodyText"/>
        <w:rPr/>
      </w:pPr>
      <w:r>
        <w:rPr/>
      </w:r>
    </w:p>
    <w:p>
      <w:pPr>
        <w:pStyle w:val="BodyText"/>
        <w:rPr/>
      </w:pPr>
      <w:r>
        <w:rPr/>
        <w:t xml:space="preserve">1988: CS First Boston was formed, 44.5 percent owned by CS Holding.  The firm had total capital of $1.9 billion.  At the height of hostile takeover activity, the firm was the top-ranked defense advisor.  The first was the top-ranked lead manager of asset-backed securities and convertible issues.  </w:t>
      </w:r>
    </w:p>
    <w:p>
      <w:pPr>
        <w:pStyle w:val="BodyText"/>
        <w:rPr/>
      </w:pPr>
      <w:r>
        <w:rPr/>
      </w:r>
    </w:p>
    <w:p>
      <w:pPr>
        <w:pStyle w:val="BodyText"/>
        <w:rPr/>
      </w:pPr>
      <w:r>
        <w:rPr/>
        <w:t>1989-90:  IFR names the firm “Euromarket House of the Decade.”  The firm structured the first issuance of securities under the then-new Rule 144A for Atlas Copco.  The firm handled the groundbreaking privatization of Telecom Corp. of New Zealand.  CS Holding assumes a majority stake in the firm.  Credit Suisse Financial Products is formed.</w:t>
      </w:r>
    </w:p>
    <w:p>
      <w:pPr>
        <w:pStyle w:val="BodyText"/>
        <w:rPr/>
      </w:pPr>
      <w:r>
        <w:rPr/>
      </w:r>
    </w:p>
    <w:p>
      <w:pPr>
        <w:pStyle w:val="BodyText"/>
        <w:rPr/>
      </w:pPr>
      <w:r>
        <w:rPr/>
        <w:t>1991:  The firm handles 10 reverse LBOs totaling more than $1.2 billion, the dominant share in this market.  The firm lead managed 349 global debt issues totaling $71.7 billion and 75 equity global issues totaling $6.3 billion, while the firm assisted 122 M&amp;A clients with transactions totaling $56 billion.</w:t>
      </w:r>
    </w:p>
    <w:p>
      <w:pPr>
        <w:pStyle w:val="BodyText"/>
        <w:rPr/>
      </w:pPr>
      <w:r>
        <w:rPr/>
      </w:r>
    </w:p>
    <w:p>
      <w:pPr>
        <w:pStyle w:val="BodyText"/>
        <w:rPr/>
      </w:pPr>
      <w:r>
        <w:rPr/>
        <w:t>1992:  The firm lead managed $1.65 billion bond offering for IBM, the then-third largest investment-grade issue ever.  The firm advised the Government of Mexico on the privatization of 18 commercial banks for a total of $12 billion in proceeds.  The firm lead managed a $3 billion fixed-rate Eurodollar issue for the UK, the then-largest ever.  The firm established an electronic system for the first live trading of US government securities.</w:t>
      </w:r>
    </w:p>
    <w:p>
      <w:pPr>
        <w:pStyle w:val="BodyText"/>
        <w:rPr/>
      </w:pPr>
      <w:r>
        <w:rPr/>
      </w:r>
    </w:p>
    <w:p>
      <w:pPr>
        <w:pStyle w:val="BodyText"/>
        <w:rPr/>
      </w:pPr>
      <w:r>
        <w:rPr/>
        <w:t>1993:  The firm lead manages $2 billion global common stock offering for Chrysler, the then-third largest offering in history.  The firm lead managed the then-largest corporate Yankee bond ever, $1.25 billion or Hanson Overseas B.V.  The firm advises the Government of Argentina on the $3 billion privatization IPO of YPF, the then-largest Latin American transaction ever.</w:t>
      </w:r>
    </w:p>
    <w:p>
      <w:pPr>
        <w:pStyle w:val="BodyText"/>
        <w:rPr/>
      </w:pPr>
      <w:r>
        <w:rPr/>
      </w:r>
    </w:p>
    <w:p>
      <w:pPr>
        <w:pStyle w:val="BodyText"/>
        <w:rPr/>
      </w:pPr>
      <w:r>
        <w:rPr/>
        <w:t>1994:  The firm advised American Cyanamid on its $9.7 billion acquisition by American Home Products.  The firm lead managed the first New York Stock Exchange listing for a Chinese company for Shandong Huaneng Power.  The firm handled the then-largest investment-grade corporate restructuring in history for Kodak, including a $4.8 billion offering for outstanding Kodak bonds that involved unwinding $7.3 billion in derivatives position in just two weeks.</w:t>
      </w:r>
    </w:p>
    <w:p>
      <w:pPr>
        <w:pStyle w:val="BodyText"/>
        <w:rPr/>
      </w:pPr>
      <w:r>
        <w:rPr/>
      </w:r>
    </w:p>
    <w:p>
      <w:pPr>
        <w:pStyle w:val="BodyText"/>
        <w:rPr/>
      </w:pPr>
      <w:r>
        <w:rPr/>
        <w:t>1995:  The firm lead managed the first stage of ENI’s privatization; the nearly $4 billion in cash proceeds stood as the then-largest global IPO ever.  Over the next two-and-a-half years, the firm handled all four tranches of ENI’s privatization, raising $25 billion for the Republic of Italy.  The firm made syndicated loan commitments of $20.3 billion, including $1.55 billion to facilitate Luxottica’s acquisition of US Shoe. The firm advised IBM on its $3.5 billion successful unsolicited offer for Lotus.</w:t>
      </w:r>
    </w:p>
    <w:p>
      <w:pPr>
        <w:pStyle w:val="BodyText"/>
        <w:rPr/>
      </w:pPr>
      <w:r>
        <w:rPr/>
      </w:r>
    </w:p>
    <w:p>
      <w:pPr>
        <w:pStyle w:val="BodyText"/>
        <w:rPr/>
      </w:pPr>
      <w:r>
        <w:rPr/>
        <w:t>1996: CS First Boston becomes Credit Suisse First Boston as part of the reorganization of CS Holding into Credit Suisse Group.  The new firm had more than 10,000 employees and equity capital of $7.2 billion.  The firm advises Boeing on its $14.6 billion acquisition of McDonnell Douglas.  The firm underwrites a $2.6 billion senior-notes offering for Walt Disney.  The firm lead managed a $1.1 billion subordinated convertible note issue for Home Depot, one of the largest US convertibles ever.</w:t>
      </w:r>
    </w:p>
    <w:p>
      <w:pPr>
        <w:pStyle w:val="BodyText"/>
        <w:rPr/>
      </w:pPr>
      <w:r>
        <w:rPr/>
      </w:r>
    </w:p>
    <w:p>
      <w:pPr>
        <w:pStyle w:val="BodyText"/>
        <w:rPr/>
      </w:pPr>
      <w:r>
        <w:rPr/>
        <w:t>1997: The firm lead manages a $10 billion privatization IPO for Telstra, the largest IPO of the year.  The firm advised CoreStates Financial on its $16.6 billion sale to First Union, the then-largest M&amp;A deal among US banks.  The firm lead managed the first Sterling-denominate high-yield issue for Castle Transmission.</w:t>
      </w:r>
    </w:p>
    <w:p>
      <w:pPr>
        <w:pStyle w:val="BodyText"/>
        <w:rPr/>
      </w:pPr>
      <w:r>
        <w:rPr/>
      </w:r>
    </w:p>
    <w:p>
      <w:pPr>
        <w:pStyle w:val="BodyText"/>
        <w:rPr/>
      </w:pPr>
      <w:r>
        <w:rPr/>
        <w:t xml:space="preserve">1998:  The firm advises AT&amp;T on its $70 billion acquisition of TCI and Chrysler on its $39.5 billion merger with Daimler-Benz.  The firm lead manages the largest European corporate IPO ever, the $4 billion Alstom issue.  The firm lead manages a DEM 2 billion issue for Philip Morris, the largest corporate bond issue in the Deutsche Mark market. </w:t>
      </w:r>
    </w:p>
    <w:p>
      <w:pPr>
        <w:pStyle w:val="BodyText"/>
        <w:rPr/>
      </w:pPr>
      <w:r>
        <w:rPr/>
      </w:r>
    </w:p>
    <w:p>
      <w:pPr>
        <w:pStyle w:val="BodyText"/>
        <w:rPr/>
      </w:pPr>
      <w:r>
        <w:rPr/>
        <w:t>1999:  The firm is at the forefront of the boom in technology IPOs.  The firm lead manages a $4 billion bond offering for Conoco, the largest-ever industrial bond issuance.  The firm advises AT&amp;T on its $64 billion unsolicited acquisition of MediaOne, which also involves supporting transactions with Comcast and Microsoft.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1">
    <w:name w:val="B:1"/>
    <w:basedOn w:val="Normal"/>
    <w:qFormat/>
    <w:pPr>
      <w:spacing w:before="100" w:after="100"/>
      <w:ind w:hanging="0" w:start="2160" w:end="0"/>
    </w:pPr>
    <w:rPr>
      <w:rFonts w:ascii="Arial" w:hAnsi="Arial" w:cs="Arial"/>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2000-03-24T00:22:00Z</dcterms:created>
  <dc:creator>Matthew Hickerson</dc:creator>
  <dc:description/>
  <dc:language>en-CA</dc:language>
  <cp:lastModifiedBy>Bryan Kimzey</cp:lastModifiedBy>
  <cp:lastPrinted>1999-06-14T12:38:00Z</cp:lastPrinted>
  <dcterms:modified xsi:type="dcterms:W3CDTF">2000-03-24T00:22:00Z</dcterms:modified>
  <cp:revision>2</cp:revision>
  <dc:subject/>
  <dc:title>IFR 25th Anniversary Edition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d Materials_AuthorID">
    <vt:lpwstr>505</vt:lpwstr>
  </property>
  <property fmtid="{D5CDD505-2E9C-101B-9397-08002B2CF9AE}" pid="3" name="Standard Materials_FileName">
    <vt:lpwstr>982370612</vt:lpwstr>
  </property>
</Properties>
</file>