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lang w:val="en-CA" w:eastAsia="en-CA"/>
        </w:rPr>
      </w:pPr>
      <w:r>
        <w:rPr>
          <w:b/>
          <w:sz w:val="24"/>
          <w:lang w:val="en-CA" w:eastAsia="en-CA"/>
        </w:rPr>
      </w:r>
    </w:p>
    <w:p>
      <w:pPr>
        <w:pStyle w:val="Normal"/>
        <w:jc w:val="center"/>
        <w:rPr>
          <w:b/>
          <w:sz w:val="24"/>
          <w:lang w:val="en-CA" w:eastAsia="en-CA"/>
        </w:rPr>
      </w:pPr>
      <w:r>
        <w:rPr>
          <w:b/>
          <w:sz w:val="24"/>
          <w:lang w:val="en-CA" w:eastAsia="en-CA"/>
        </w:rPr>
        <w:t>AGREEMENT FOR PRIME BROKERAGE CLEARANCE SERVICES</w:t>
      </w:r>
    </w:p>
    <w:p>
      <w:pPr>
        <w:pStyle w:val="Normal"/>
        <w:jc w:val="both"/>
        <w:rPr>
          <w:b/>
          <w:sz w:val="16"/>
          <w:lang w:val="en-CA" w:eastAsia="en-CA"/>
        </w:rPr>
      </w:pPr>
      <w:r>
        <w:rPr>
          <w:b/>
          <w:sz w:val="16"/>
          <w:lang w:val="en-CA" w:eastAsia="en-CA"/>
        </w:rPr>
      </w:r>
    </w:p>
    <w:p>
      <w:pPr>
        <w:pStyle w:val="Normal"/>
        <w:jc w:val="both"/>
        <w:rPr>
          <w:sz w:val="16"/>
          <w:lang w:val="en-CA" w:eastAsia="en-CA"/>
        </w:rPr>
      </w:pPr>
      <w:r>
        <w:rPr>
          <w:sz w:val="16"/>
          <w:lang w:val="en-CA" w:eastAsia="en-CA"/>
        </w:rPr>
      </w:r>
    </w:p>
    <w:p>
      <w:pPr>
        <w:pStyle w:val="Normal"/>
        <w:jc w:val="both"/>
        <w:rPr>
          <w:sz w:val="16"/>
          <w:lang w:val="en-CA" w:eastAsia="en-CA"/>
        </w:rPr>
      </w:pPr>
      <w:r>
        <w:rPr>
          <w:sz w:val="16"/>
          <w:lang w:val="en-CA" w:eastAsia="en-CA"/>
        </w:rPr>
      </w:r>
    </w:p>
    <w:p>
      <w:pPr>
        <w:pStyle w:val="Normal"/>
        <w:jc w:val="both"/>
        <w:rPr/>
      </w:pPr>
      <w:r>
        <w:rPr>
          <w:sz w:val="16"/>
          <w:lang w:val="en-CA" w:eastAsia="en-CA"/>
        </w:rPr>
        <w:t xml:space="preserve">This Agreement sets forth the terms and conditions under which </w:t>
      </w:r>
      <w:r>
        <w:rPr>
          <w:b/>
          <w:sz w:val="16"/>
          <w:u w:val="single"/>
          <w:lang w:val="en-CA" w:eastAsia="en-CA"/>
        </w:rPr>
        <w:t xml:space="preserve">Credit Suisse First Boston </w:t>
      </w:r>
      <w:r>
        <w:rPr>
          <w:sz w:val="16"/>
          <w:lang w:val="en-CA" w:eastAsia="en-CA"/>
        </w:rPr>
        <w:t xml:space="preserve"> its sucessors and assigns (the "Clearing Broker") will clear your securities transactions with such broker-dealer as you may designate, frome time to time, as your prime broker ("Prime Broker"), provided that the Clearing Broker has entered into a Prime Brokerage Agreement with such broker-dealer with respect to your prime brokerage transactions (hereinafter referred to as "Prime Brokerage Transaaction(s)").</w:t>
      </w:r>
    </w:p>
    <w:p>
      <w:pPr>
        <w:pStyle w:val="Normal"/>
        <w:jc w:val="both"/>
        <w:rPr>
          <w:sz w:val="16"/>
          <w:lang w:val="en-CA" w:eastAsia="en-CA"/>
        </w:rPr>
      </w:pPr>
      <w:r>
        <w:rPr>
          <w:sz w:val="16"/>
          <w:lang w:val="en-CA" w:eastAsia="en-CA"/>
        </w:rPr>
      </w:r>
    </w:p>
    <w:p>
      <w:pPr>
        <w:pStyle w:val="Normal"/>
        <w:jc w:val="both"/>
        <w:rPr>
          <w:sz w:val="16"/>
          <w:lang w:val="en-CA" w:eastAsia="en-CA"/>
        </w:rPr>
      </w:pPr>
      <w:r>
        <w:rPr>
          <w:sz w:val="16"/>
          <w:lang w:val="en-CA" w:eastAsia="en-CA"/>
        </w:rPr>
      </w:r>
    </w:p>
    <w:p>
      <w:pPr>
        <w:pStyle w:val="Normal"/>
        <w:numPr>
          <w:ilvl w:val="0"/>
          <w:numId w:val="9"/>
        </w:numPr>
        <w:jc w:val="both"/>
        <w:rPr>
          <w:i/>
          <w:i/>
          <w:sz w:val="16"/>
          <w:lang w:val="en-CA" w:eastAsia="en-CA"/>
        </w:rPr>
      </w:pPr>
      <w:r>
        <w:rPr>
          <w:i/>
          <w:sz w:val="16"/>
          <w:lang w:val="en-CA" w:eastAsia="en-CA"/>
        </w:rPr>
        <w:t>Establishment of Account</w:t>
        <w:tab/>
        <w:tab/>
        <w:tab/>
        <w:tab/>
        <w:tab/>
        <w:t>5. Customer Qualification</w:t>
        <w:tab/>
        <w:tab/>
      </w:r>
    </w:p>
    <w:p>
      <w:pPr>
        <w:pStyle w:val="Normal"/>
        <w:jc w:val="both"/>
        <w:rPr>
          <w:i/>
          <w:i/>
          <w:sz w:val="16"/>
          <w:lang w:val="en-CA" w:eastAsia="en-CA"/>
        </w:rPr>
      </w:pPr>
      <w:r>
        <w:rPr>
          <w:i/>
          <w:sz w:val="16"/>
          <w:lang w:val="en-CA" w:eastAsia="en-CA"/>
        </w:rPr>
      </w:r>
    </w:p>
    <w:p>
      <w:pPr>
        <w:sectPr>
          <w:footerReference w:type="default" r:id="rId2"/>
          <w:type w:val="nextPage"/>
          <w:pgSz w:w="12240" w:h="15840"/>
          <w:pgMar w:left="1800" w:right="1800" w:gutter="0" w:header="0" w:top="1170" w:footer="720" w:bottom="1080"/>
          <w:pgNumType w:fmt="decimal"/>
          <w:formProt w:val="false"/>
          <w:textDirection w:val="lrTb"/>
          <w:docGrid w:type="default" w:linePitch="360" w:charSpace="0"/>
        </w:sectPr>
      </w:pPr>
    </w:p>
    <w:p>
      <w:pPr>
        <w:pStyle w:val="Normal"/>
        <w:jc w:val="both"/>
        <w:rPr>
          <w:sz w:val="16"/>
          <w:lang w:val="en-CA" w:eastAsia="en-CA"/>
        </w:rPr>
      </w:pPr>
      <w:r>
        <w:rPr>
          <w:sz w:val="16"/>
          <w:lang w:val="en-CA" w:eastAsia="en-CA"/>
        </w:rPr>
        <w:t>The Clearing Broker will clear your Prime Brokerage Transactions in a broker-dealer credit account established in the name of your Prime Broker and designated for your benefit.  On the settlement date for each Prime Brokerage Transaction , the Clearing Broker will deliver or receive your securities to or from your Prime Broker against payment in full by or to your Prime Broker on your behalf.</w:t>
      </w:r>
    </w:p>
    <w:p>
      <w:pPr>
        <w:pStyle w:val="Normal"/>
        <w:jc w:val="both"/>
        <w:rPr>
          <w:sz w:val="16"/>
          <w:lang w:val="en-CA" w:eastAsia="en-CA"/>
        </w:rPr>
      </w:pPr>
      <w:r>
        <w:rPr>
          <w:sz w:val="16"/>
          <w:lang w:val="en-CA" w:eastAsia="en-CA"/>
        </w:rPr>
      </w:r>
    </w:p>
    <w:p>
      <w:pPr>
        <w:pStyle w:val="Normal"/>
        <w:numPr>
          <w:ilvl w:val="0"/>
          <w:numId w:val="9"/>
        </w:numPr>
        <w:jc w:val="both"/>
        <w:rPr>
          <w:i/>
          <w:i/>
          <w:sz w:val="16"/>
          <w:lang w:val="en-CA" w:eastAsia="en-CA"/>
        </w:rPr>
      </w:pPr>
      <w:r>
        <w:rPr>
          <w:i/>
          <w:sz w:val="16"/>
          <w:lang w:val="en-CA" w:eastAsia="en-CA"/>
        </w:rPr>
        <w:t>Customer Trades</w:t>
      </w:r>
    </w:p>
    <w:p>
      <w:pPr>
        <w:pStyle w:val="Normal"/>
        <w:jc w:val="both"/>
        <w:rPr>
          <w:i/>
          <w:i/>
          <w:sz w:val="16"/>
          <w:lang w:val="en-CA" w:eastAsia="en-CA"/>
        </w:rPr>
      </w:pPr>
      <w:r>
        <w:rPr>
          <w:i/>
          <w:sz w:val="16"/>
          <w:lang w:val="en-CA" w:eastAsia="en-CA"/>
        </w:rPr>
      </w:r>
    </w:p>
    <w:p>
      <w:pPr>
        <w:pStyle w:val="Normal"/>
        <w:jc w:val="both"/>
        <w:rPr/>
      </w:pPr>
      <w:r>
        <w:rPr>
          <w:sz w:val="16"/>
          <w:lang w:val="en-CA" w:eastAsia="en-CA"/>
        </w:rPr>
        <w:t xml:space="preserve">You hereby authorized the Clearing Broker to inform your Prime Broker on the DTC ID system, or any successor system, of all the details of each Prime Brokerage Transaction you instruct to be cleared by the Clearing Broker for your account, including, but not limited to, the contract amount, the security involved, the number of shares or number of units, and whether the transaction was a long or short sale or a purchase (collectively, the "Trade Data"), and you hereby agree to inform your Prime Broker of  the Trade Data on trade date </w:t>
      </w:r>
      <w:r>
        <w:rPr>
          <w:color w:val="FF0000"/>
          <w:sz w:val="16"/>
          <w:lang w:val="en-CA" w:eastAsia="en-CA"/>
        </w:rPr>
        <w:t>and</w:t>
      </w:r>
      <w:r>
        <w:rPr>
          <w:sz w:val="16"/>
          <w:lang w:val="en-CA" w:eastAsia="en-CA"/>
        </w:rPr>
        <w:t xml:space="preserve"> by the time designated to you by your Prime Broker.  In the event of any discrepancy in the Trade Data reported to your Prime Broker by you and the Trade Data reported to your Prime Broker by the Clearing Broker, you shall be responsible for resolving such discrepancy</w:t>
      </w:r>
      <w:r>
        <w:rPr>
          <w:color w:val="FF0000"/>
          <w:sz w:val="16"/>
          <w:lang w:val="en-CA" w:eastAsia="en-CA"/>
        </w:rPr>
        <w:t xml:space="preserve"> within a reasonable peroiod of time</w:t>
      </w:r>
      <w:r>
        <w:rPr>
          <w:sz w:val="16"/>
          <w:lang w:val="en-CA" w:eastAsia="en-CA"/>
        </w:rPr>
        <w:t xml:space="preserve">, and you shall be liable to the Clearing Broker for any loss, cost or expense sustained by the Clearing Broker arising out of such Prime Brokerage Transaction, </w:t>
      </w:r>
      <w:r>
        <w:rPr>
          <w:color w:val="FF0000"/>
          <w:sz w:val="16"/>
          <w:lang w:val="en-CA" w:eastAsia="en-CA"/>
        </w:rPr>
        <w:t>except to the extent such loss, cost and expense is caused by the gross negligence or willful misconduct of Clearing Broker</w:t>
      </w:r>
      <w:r>
        <w:rPr>
          <w:sz w:val="16"/>
          <w:lang w:val="en-CA" w:eastAsia="en-CA"/>
        </w:rPr>
        <w:t>.</w:t>
      </w:r>
    </w:p>
    <w:p>
      <w:pPr>
        <w:pStyle w:val="Normal"/>
        <w:jc w:val="both"/>
        <w:rPr>
          <w:sz w:val="16"/>
          <w:lang w:val="en-CA" w:eastAsia="en-CA"/>
        </w:rPr>
      </w:pPr>
      <w:r>
        <w:rPr>
          <w:sz w:val="16"/>
          <w:lang w:val="en-CA" w:eastAsia="en-CA"/>
        </w:rPr>
      </w:r>
    </w:p>
    <w:p>
      <w:pPr>
        <w:pStyle w:val="Normal"/>
        <w:numPr>
          <w:ilvl w:val="0"/>
          <w:numId w:val="9"/>
        </w:numPr>
        <w:jc w:val="both"/>
        <w:rPr>
          <w:i/>
          <w:i/>
          <w:sz w:val="16"/>
          <w:lang w:val="en-CA" w:eastAsia="en-CA"/>
        </w:rPr>
      </w:pPr>
      <w:r>
        <w:rPr>
          <w:i/>
          <w:sz w:val="16"/>
          <w:lang w:val="en-CA" w:eastAsia="en-CA"/>
        </w:rPr>
        <w:t>Applicable Law and Regulations</w:t>
      </w:r>
    </w:p>
    <w:p>
      <w:pPr>
        <w:pStyle w:val="Normal"/>
        <w:jc w:val="both"/>
        <w:rPr>
          <w:i/>
          <w:i/>
          <w:sz w:val="16"/>
          <w:lang w:val="en-CA" w:eastAsia="en-CA"/>
        </w:rPr>
      </w:pPr>
      <w:r>
        <w:rPr>
          <w:i/>
          <w:sz w:val="16"/>
          <w:lang w:val="en-CA" w:eastAsia="en-CA"/>
        </w:rPr>
      </w:r>
    </w:p>
    <w:p>
      <w:pPr>
        <w:pStyle w:val="Normal"/>
        <w:jc w:val="both"/>
        <w:rPr/>
      </w:pPr>
      <w:r>
        <w:rPr>
          <w:sz w:val="16"/>
          <w:lang w:val="en-CA" w:eastAsia="en-CA"/>
        </w:rPr>
        <w:t xml:space="preserve">All Prime Brokerage Transactions shall be subject to all applicable laws and the rules and regulations of all federal, state and self-regulatory agencies including, but not limited to, the Securities and Exchange Commission, all relevant securities and commodity exchanges, the Municipal Securities Rulemaking Board, the National Association of Securities Dealers, the Board of Governors of the Federal Reserve System, and the constitution, rules and customs of  the exchange or market (and its clearing house, if any) </w:t>
      </w:r>
      <w:r>
        <w:rPr>
          <w:color w:val="FF0000"/>
          <w:sz w:val="16"/>
          <w:lang w:val="en-CA" w:eastAsia="en-CA"/>
        </w:rPr>
        <w:t>where</w:t>
      </w:r>
      <w:r>
        <w:rPr>
          <w:sz w:val="16"/>
          <w:lang w:val="en-CA" w:eastAsia="en-CA"/>
        </w:rPr>
        <w:t xml:space="preserve"> executed.  In addition, all Prime Brokerage Transactions shall be performed in a manner not inconsistent with the SEC No-Action Letter dated January 25, 1994 relating to prime brokerage services, which was issued by the Division of Market Regulation (the "SEC Letter"), as the same may be amended, modified or supplemented frome time to time.</w:t>
      </w:r>
    </w:p>
    <w:p>
      <w:pPr>
        <w:pStyle w:val="Normal"/>
        <w:jc w:val="both"/>
        <w:rPr>
          <w:i/>
          <w:i/>
          <w:sz w:val="16"/>
          <w:lang w:val="en-CA" w:eastAsia="en-CA"/>
        </w:rPr>
      </w:pPr>
      <w:r>
        <w:rPr>
          <w:i/>
          <w:sz w:val="16"/>
          <w:lang w:val="en-CA" w:eastAsia="en-CA"/>
        </w:rPr>
      </w:r>
    </w:p>
    <w:p>
      <w:pPr>
        <w:pStyle w:val="Normal"/>
        <w:numPr>
          <w:ilvl w:val="0"/>
          <w:numId w:val="9"/>
        </w:numPr>
        <w:jc w:val="both"/>
        <w:rPr>
          <w:i/>
          <w:i/>
          <w:sz w:val="16"/>
          <w:lang w:val="en-CA" w:eastAsia="en-CA"/>
        </w:rPr>
      </w:pPr>
      <w:r>
        <w:rPr>
          <w:i/>
          <w:sz w:val="16"/>
          <w:lang w:val="en-CA" w:eastAsia="en-CA"/>
        </w:rPr>
        <w:t>Short Sales</w:t>
      </w:r>
    </w:p>
    <w:p>
      <w:pPr>
        <w:pStyle w:val="Normal"/>
        <w:jc w:val="both"/>
        <w:rPr>
          <w:i/>
          <w:i/>
          <w:sz w:val="16"/>
          <w:lang w:val="en-CA" w:eastAsia="en-CA"/>
        </w:rPr>
      </w:pPr>
      <w:r>
        <w:rPr>
          <w:i/>
          <w:sz w:val="16"/>
          <w:lang w:val="en-CA" w:eastAsia="en-CA"/>
        </w:rPr>
      </w:r>
    </w:p>
    <w:p>
      <w:pPr>
        <w:pStyle w:val="BodyTextIndent"/>
        <w:ind w:start="0" w:end="0"/>
        <w:rPr/>
      </w:pPr>
      <w:r>
        <w:rPr/>
        <w:t xml:space="preserve">When placing any order to sell securities short for your account, you are responsible for designating the order as such, and you hereby authorize the Clearing Broker with information concerning any securities borrowing arrangements to mark the order as being “short.” You further agree to provide the clearing broker with information concerning any       securites borrowing agrrangements made by you and / or your Prime Broker in connection with any short sales.                                      </w:t>
      </w:r>
    </w:p>
    <w:p>
      <w:pPr>
        <w:pStyle w:val="Normal"/>
        <w:numPr>
          <w:ilvl w:val="0"/>
          <w:numId w:val="6"/>
        </w:numPr>
        <w:jc w:val="both"/>
        <w:rPr>
          <w:sz w:val="16"/>
          <w:lang w:val="en-CA" w:eastAsia="en-CA"/>
        </w:rPr>
      </w:pPr>
      <w:r>
        <w:rPr>
          <w:sz w:val="16"/>
          <w:lang w:val="en-CA" w:eastAsia="en-CA"/>
        </w:rPr>
        <w:t>You understand that you shall be required to maintain in your account with your Prime Broker such minimum net equity in cash or securities as may be required, from time to time, your Prime Broker (the "Minimum Net Equity"), which shall in no event be less than the minimum net equity required by the SEC Letter, as such requirement may be amended from time to time (initially: (i) $100,000 in cash or securities with a ready market, for trades executed on behalf of a customer account managed by investment adviser registered under Section 203 of the Investment Advisors Act of 1940 (a "Registered Investment Adviser"), or (ii) $500,000 in cash or securities with a ready market for trades executed on behalf of an account not managed by a Registered Investment Advisor).  You further understand that, in the event your account falls below such Minimum Net Equity, you shall bring your account into compliance in a timely fashion.  Each time you enter an order with the Clearing Broker, you hereby represent that you shall be in compliance with such Minimum Net Equity or will notify the Clearing Broker otherwise.</w:t>
      </w:r>
    </w:p>
    <w:p>
      <w:pPr>
        <w:pStyle w:val="Normal"/>
        <w:jc w:val="both"/>
        <w:rPr>
          <w:sz w:val="16"/>
          <w:lang w:val="en-CA" w:eastAsia="en-CA"/>
        </w:rPr>
      </w:pPr>
      <w:r>
        <w:rPr>
          <w:sz w:val="16"/>
          <w:lang w:val="en-CA" w:eastAsia="en-CA"/>
        </w:rPr>
      </w:r>
    </w:p>
    <w:p>
      <w:pPr>
        <w:pStyle w:val="Normal"/>
        <w:numPr>
          <w:ilvl w:val="0"/>
          <w:numId w:val="6"/>
        </w:numPr>
        <w:jc w:val="both"/>
        <w:rPr>
          <w:i/>
          <w:i/>
          <w:sz w:val="16"/>
        </w:rPr>
      </w:pPr>
      <w:r>
        <w:rPr>
          <w:sz w:val="16"/>
          <w:lang w:val="en-CA" w:eastAsia="en-CA"/>
        </w:rPr>
        <w:t>In the event that your Prime Broker indicates its intention to disaffirm any trade, you hereby authorize and instruct your Prime Broker to provide to the Clearing Broker, upon the request of the Clearing Broker, the following information: (i) the accounts to which any of your orders or trades relate: (ii) the instructions, if any, provided to your Prime Broker regarding the allocation of any orders or trades to any sub-accounts; and (iii) information available to your Prime Broker with respect to any net equity in the account.  In addition , this Agreement will serve as further authorization and instruction to your Prime Broker to furnish to the Clearing Broker in the event of a disaffirmance all such further and additional information concerning an account as the Clearing Broker shall</w:t>
      </w:r>
      <w:r>
        <w:rPr>
          <w:color w:val="FF0000"/>
          <w:sz w:val="16"/>
          <w:lang w:val="en-CA" w:eastAsia="en-CA"/>
        </w:rPr>
        <w:t xml:space="preserve"> reasonably</w:t>
      </w:r>
      <w:r>
        <w:rPr>
          <w:sz w:val="16"/>
          <w:lang w:val="en-CA" w:eastAsia="en-CA"/>
        </w:rPr>
        <w:t xml:space="preserve"> request, provided that such authorization shall have been confirmed by you in a separate letter addressed and delivered to your Prime Broker and the Clearing Broker.  This paragraph shall remain in effect so long as this Agreement is in effect, shall survive the termination of this Agreement and shall apply to all orders and trades given by you to the Clearing Broker for clearance and settlement through your Prime Broker.  You hereby agree to release and discharge your Prime Broker from all responsibility  and liability arising out of or incurred in connection with your Prime Broker furnishing any information to the Clearing Broker pursuant to the terms and conditions contained in this paragraph.</w:t>
      </w:r>
    </w:p>
    <w:p>
      <w:pPr>
        <w:pStyle w:val="Normal"/>
        <w:rPr>
          <w:i/>
          <w:i/>
          <w:sz w:val="16"/>
        </w:rPr>
      </w:pPr>
      <w:r>
        <w:rPr>
          <w:i/>
          <w:sz w:val="16"/>
        </w:rPr>
      </w:r>
    </w:p>
    <w:p>
      <w:pPr>
        <w:pStyle w:val="Normal"/>
        <w:rPr>
          <w:i/>
          <w:i/>
          <w:sz w:val="16"/>
        </w:rPr>
      </w:pPr>
      <w:r>
        <w:rPr>
          <w:i/>
          <w:sz w:val="16"/>
        </w:rPr>
        <w:t xml:space="preserve">                            </w:t>
      </w:r>
    </w:p>
    <w:p>
      <w:pPr>
        <w:pStyle w:val="Normal"/>
        <w:rPr>
          <w:sz w:val="16"/>
        </w:rPr>
      </w:pPr>
      <w:r>
        <w:rPr>
          <w:i/>
          <w:sz w:val="16"/>
        </w:rPr>
        <w:t xml:space="preserve">                                                            </w:t>
      </w:r>
    </w:p>
    <w:p>
      <w:pPr>
        <w:pStyle w:val="Normal"/>
        <w:rPr>
          <w:i/>
          <w:i/>
          <w:sz w:val="16"/>
        </w:rPr>
      </w:pPr>
      <w:r>
        <w:rPr>
          <w:i/>
          <w:sz w:val="16"/>
        </w:rPr>
      </w:r>
    </w:p>
    <w:p>
      <w:pPr>
        <w:pStyle w:val="Normal"/>
        <w:rPr>
          <w:i/>
          <w:i/>
          <w:sz w:val="16"/>
        </w:rPr>
      </w:pPr>
      <w:r>
        <w:rPr>
          <w:i/>
          <w:sz w:val="16"/>
        </w:rPr>
      </w:r>
    </w:p>
    <w:p>
      <w:pPr>
        <w:pStyle w:val="Normal"/>
        <w:rPr>
          <w:i/>
          <w:i/>
          <w:sz w:val="16"/>
        </w:rPr>
      </w:pPr>
      <w:r>
        <w:rPr>
          <w:i/>
          <w:sz w:val="16"/>
        </w:rPr>
      </w:r>
    </w:p>
    <w:p>
      <w:pPr>
        <w:pStyle w:val="Normal"/>
        <w:rPr>
          <w:i/>
          <w:i/>
          <w:sz w:val="16"/>
        </w:rPr>
      </w:pPr>
      <w:r>
        <w:rPr>
          <w:i/>
          <w:sz w:val="16"/>
        </w:rPr>
        <w:t>6.   Confirmations</w:t>
      </w:r>
    </w:p>
    <w:p>
      <w:pPr>
        <w:pStyle w:val="Normal"/>
        <w:rPr>
          <w:i/>
          <w:i/>
          <w:sz w:val="16"/>
        </w:rPr>
      </w:pPr>
      <w:r>
        <w:rPr>
          <w:i/>
          <w:sz w:val="16"/>
        </w:rPr>
      </w:r>
    </w:p>
    <w:p>
      <w:pPr>
        <w:pStyle w:val="Normal"/>
        <w:jc w:val="both"/>
        <w:rPr>
          <w:sz w:val="16"/>
        </w:rPr>
      </w:pPr>
      <w:r>
        <w:rPr>
          <w:sz w:val="16"/>
        </w:rPr>
        <w:t>The Clearing Broker shall confirm the Trade Data to your Prime Broker and shall issue a confirmation for each Prime Brokerage Transaction by the morning of the next business day after trade date.  As used in this Agreement, the term "business day" means any day, which is not a Saturday, or Sunday on which the New York Stock Exchange, Inc. is open for business.  You may direct the Clearing Broker to send confirmations to you in care of your Prime Broker; the form of such directive may be obtained from the Clearing Broker and appended to this Agreement.</w:t>
      </w:r>
    </w:p>
    <w:p>
      <w:pPr>
        <w:pStyle w:val="Normal"/>
        <w:jc w:val="both"/>
        <w:rPr>
          <w:sz w:val="16"/>
        </w:rPr>
      </w:pPr>
      <w:r>
        <w:rPr>
          <w:sz w:val="16"/>
        </w:rPr>
      </w:r>
    </w:p>
    <w:p>
      <w:pPr>
        <w:pStyle w:val="Normal"/>
        <w:rPr>
          <w:i/>
          <w:i/>
          <w:sz w:val="16"/>
        </w:rPr>
      </w:pPr>
      <w:r>
        <w:rPr>
          <w:i/>
          <w:sz w:val="16"/>
        </w:rPr>
        <w:t>7.   Customer's Settlement Obligation</w:t>
      </w:r>
    </w:p>
    <w:p>
      <w:pPr>
        <w:pStyle w:val="Normal"/>
        <w:rPr>
          <w:i/>
          <w:i/>
          <w:sz w:val="16"/>
        </w:rPr>
      </w:pPr>
      <w:r>
        <w:rPr>
          <w:i/>
          <w:sz w:val="16"/>
        </w:rPr>
      </w:r>
    </w:p>
    <w:p>
      <w:pPr>
        <w:pStyle w:val="Normal"/>
        <w:jc w:val="both"/>
        <w:rPr>
          <w:sz w:val="16"/>
        </w:rPr>
      </w:pPr>
      <w:r>
        <w:rPr>
          <w:sz w:val="16"/>
        </w:rPr>
        <w:t>In the event your Prime Broker indicates its intention not to settle, or fails to settle, any of your Prime Brokerage Transactions, you shall be responsible and liable to the Clearing Broker for settling such Prime Brokerage Transactions(s) directly with the Clearing Broker in a margin account that the Clearing Broker will open or has opened in your name on its books in accordance with Regulation T of the Board of Governors of the Federal Reserve System.  The Clearing Broker shall send you a new confirmation of the replacement transaction(s).</w:t>
      </w:r>
    </w:p>
    <w:p>
      <w:pPr>
        <w:pStyle w:val="Normal"/>
        <w:rPr>
          <w:sz w:val="16"/>
        </w:rPr>
      </w:pPr>
      <w:r>
        <w:rPr>
          <w:sz w:val="16"/>
        </w:rPr>
      </w:r>
    </w:p>
    <w:p>
      <w:pPr>
        <w:pStyle w:val="Normal"/>
        <w:numPr>
          <w:ilvl w:val="0"/>
          <w:numId w:val="12"/>
        </w:numPr>
        <w:rPr>
          <w:i/>
          <w:i/>
          <w:sz w:val="16"/>
        </w:rPr>
      </w:pPr>
      <w:r>
        <w:rPr>
          <w:i/>
          <w:sz w:val="16"/>
        </w:rPr>
        <w:t>Discretionary Account</w:t>
      </w:r>
    </w:p>
    <w:p>
      <w:pPr>
        <w:pStyle w:val="Normal"/>
        <w:rPr>
          <w:i/>
          <w:i/>
          <w:sz w:val="16"/>
        </w:rPr>
      </w:pPr>
      <w:r>
        <w:rPr>
          <w:i/>
          <w:sz w:val="16"/>
        </w:rPr>
      </w:r>
    </w:p>
    <w:p>
      <w:pPr>
        <w:pStyle w:val="Normal"/>
        <w:numPr>
          <w:ilvl w:val="0"/>
          <w:numId w:val="7"/>
        </w:numPr>
        <w:tabs>
          <w:tab w:val="clear" w:pos="720"/>
          <w:tab w:val="left" w:pos="0" w:leader="none"/>
        </w:tabs>
        <w:ind w:hanging="360" w:start="0" w:end="0"/>
        <w:jc w:val="both"/>
        <w:rPr>
          <w:sz w:val="16"/>
        </w:rPr>
      </w:pPr>
      <w:r>
        <w:rPr>
          <w:sz w:val="16"/>
        </w:rPr>
        <w:t>If your Account is managed on a discretionary basis by an investment advisor, money manager or other person ("advisor"), you hereby acknowledge that your Prime Brokerage Transactions may be commingled with those of other accounts of your advisor ("sub-accounts"), according to your advisor's instructions, for clearance by the Clearing Broker in a single bulk trade and for settlement in bulk with your Prime Broker.  You further acknowledge that in the event the Prime Broker indicates its intention not to settle or does not  settle such bulk trade because of one or more sub-accounts receiving an allocation, the Clearing Broker will either cancel and rebill the bulk trade to reflect the reduction of the securities which were originally allocated to the objectionable sub-accounts or, if permissible, execute a corrected allocation of the Prime Brokerage Transaction to sub-accounts in accordance with your advisor's instructions. To facilitate such allocation, the Clearing Broker may open and carry an account in your name on its books and you shall be solely responsible and liable to the Clearing Broker for settling such transaction directly with the Clearing Broker.  You acknowledge that your advisor may resubmit the bulk trade and execute a corrected allocation of the Prime Brokerage Transaction.</w:t>
      </w:r>
    </w:p>
    <w:p>
      <w:pPr>
        <w:pStyle w:val="Normal"/>
        <w:tabs>
          <w:tab w:val="left" w:pos="720" w:leader="none"/>
        </w:tabs>
        <w:ind w:start="720" w:end="0"/>
        <w:jc w:val="both"/>
        <w:rPr>
          <w:sz w:val="16"/>
        </w:rPr>
      </w:pPr>
      <w:r>
        <w:rPr>
          <w:sz w:val="16"/>
        </w:rPr>
      </w:r>
    </w:p>
    <w:p>
      <w:pPr>
        <w:pStyle w:val="Normal"/>
        <w:jc w:val="both"/>
        <w:rPr>
          <w:sz w:val="16"/>
        </w:rPr>
      </w:pPr>
      <w:r>
        <w:rPr>
          <w:sz w:val="16"/>
        </w:rPr>
      </w:r>
    </w:p>
    <w:p>
      <w:pPr>
        <w:pStyle w:val="BodyTextIndent2"/>
        <w:rPr/>
      </w:pPr>
      <w:r>
        <w:rPr/>
        <w:t xml:space="preserve">      </w:t>
      </w:r>
      <w:r>
        <w:rPr/>
        <w:t>(b)     If you are executing this Agreement on behalf of a customer whose account is managed by you, you hereby represent and covenant to the Clearing Broker that: (i) each time you execute an order on behalf of such customer, such customer is in compliance with the Minimum Net Equity requirement or you shall notify the Clearing Broker otherwise: (ii) you shall not enter an order for such customer in the event such customer falls below the Minimum Net Equity requirement; (iii) you will provide the Clearing Broker with such  information as is necessary to enable the Clearing Broker to open and maintain an account for the benefit of such customer by completing the schedule attached hereto: (iv) you have sufficient knowledge of such customer to make the representation set forth in Paragraph 19 of this Agreement and (v) you have been duly authorized by the customer to execute this Agreement, to bind such customer to arbitration, to enter orders to effect Prime Brokerage Transactions, to execute a directive to the Clearing Broker regarding the mailing of confirmations, to disclose such financial information as the Clearing Broker deems necessary to effect such transactions and to take such other actions as are contemplated by this Agreement.</w:t>
      </w:r>
    </w:p>
    <w:p>
      <w:pPr>
        <w:pStyle w:val="Normal"/>
        <w:ind w:start="360" w:end="0"/>
        <w:jc w:val="both"/>
        <w:rPr>
          <w:i/>
          <w:i/>
          <w:sz w:val="16"/>
        </w:rPr>
      </w:pPr>
      <w:r>
        <w:rPr>
          <w:i/>
          <w:sz w:val="16"/>
        </w:rPr>
      </w:r>
    </w:p>
    <w:p>
      <w:pPr>
        <w:pStyle w:val="Normal"/>
        <w:numPr>
          <w:ilvl w:val="0"/>
          <w:numId w:val="12"/>
        </w:numPr>
        <w:rPr>
          <w:i/>
          <w:i/>
          <w:sz w:val="16"/>
        </w:rPr>
      </w:pPr>
      <w:r>
        <w:rPr>
          <w:i/>
          <w:sz w:val="16"/>
        </w:rPr>
        <w:t>Fees and Charges</w:t>
      </w:r>
    </w:p>
    <w:p>
      <w:pPr>
        <w:pStyle w:val="Normal"/>
        <w:rPr>
          <w:i/>
          <w:i/>
          <w:sz w:val="16"/>
        </w:rPr>
      </w:pPr>
      <w:r>
        <w:rPr>
          <w:i/>
          <w:sz w:val="16"/>
        </w:rPr>
      </w:r>
    </w:p>
    <w:p>
      <w:pPr>
        <w:pStyle w:val="Normal"/>
        <w:jc w:val="both"/>
        <w:rPr/>
      </w:pPr>
      <w:r>
        <w:rPr>
          <w:sz w:val="16"/>
        </w:rPr>
        <w:t xml:space="preserve">You understand that the Clearing Broker may Charge commissions and other fees for clearance or any other service furnished to you and you agree to pay such customary commissions and fees </w:t>
      </w:r>
      <w:r>
        <w:rPr>
          <w:color w:val="FF0000"/>
          <w:sz w:val="16"/>
        </w:rPr>
        <w:t>as agreed to by the parties at the time of the transaction</w:t>
      </w:r>
      <w:r>
        <w:rPr>
          <w:sz w:val="16"/>
        </w:rPr>
        <w:t>.  You further understand that service fees, if any, may be changed from time to time, upon 30 days prior written notice to you.</w:t>
      </w:r>
    </w:p>
    <w:p>
      <w:pPr>
        <w:pStyle w:val="Normal"/>
        <w:jc w:val="both"/>
        <w:rPr>
          <w:sz w:val="16"/>
        </w:rPr>
      </w:pPr>
      <w:r>
        <w:rPr>
          <w:sz w:val="16"/>
        </w:rPr>
      </w:r>
    </w:p>
    <w:p>
      <w:pPr>
        <w:pStyle w:val="Normal"/>
        <w:numPr>
          <w:ilvl w:val="0"/>
          <w:numId w:val="12"/>
        </w:numPr>
        <w:jc w:val="both"/>
        <w:rPr>
          <w:i/>
          <w:i/>
          <w:sz w:val="16"/>
        </w:rPr>
      </w:pPr>
      <w:r>
        <w:rPr>
          <w:i/>
          <w:sz w:val="16"/>
        </w:rPr>
        <w:t>Restrictions on Account</w:t>
      </w:r>
    </w:p>
    <w:p>
      <w:pPr>
        <w:pStyle w:val="Normal"/>
        <w:jc w:val="both"/>
        <w:rPr>
          <w:i/>
          <w:i/>
          <w:sz w:val="16"/>
        </w:rPr>
      </w:pPr>
      <w:r>
        <w:rPr>
          <w:i/>
          <w:sz w:val="16"/>
        </w:rPr>
      </w:r>
    </w:p>
    <w:p>
      <w:pPr>
        <w:pStyle w:val="Normal"/>
        <w:jc w:val="both"/>
        <w:rPr/>
      </w:pPr>
      <w:r>
        <w:rPr>
          <w:sz w:val="16"/>
        </w:rPr>
        <w:t xml:space="preserve">You understand that the Clearing Broker, in its sole discretion, may refuse to accept or execute Prime Brokerage Transactions on your behalf or restrict or prohibit trading of securities in your account(s) with the Clearing Broker, or refuse to clear your securities transactions, </w:t>
      </w:r>
      <w:r>
        <w:rPr>
          <w:color w:val="FF0000"/>
          <w:sz w:val="16"/>
        </w:rPr>
        <w:t>provided that in the event Clearing Broker takes any of the above referenced actions Clearing Broker shall provide you and Prime Broker with verbal notice of such action as soon as reasonably possible in accordance with industry standards.</w:t>
      </w:r>
    </w:p>
    <w:p>
      <w:pPr>
        <w:pStyle w:val="Normal"/>
        <w:jc w:val="both"/>
        <w:rPr>
          <w:color w:val="FF0000"/>
          <w:sz w:val="16"/>
        </w:rPr>
      </w:pPr>
      <w:r>
        <w:rPr>
          <w:color w:val="FF0000"/>
          <w:sz w:val="16"/>
        </w:rPr>
      </w:r>
    </w:p>
    <w:p>
      <w:pPr>
        <w:pStyle w:val="Normal"/>
        <w:numPr>
          <w:ilvl w:val="0"/>
          <w:numId w:val="12"/>
        </w:numPr>
        <w:jc w:val="both"/>
        <w:rPr>
          <w:i/>
          <w:i/>
          <w:sz w:val="16"/>
        </w:rPr>
      </w:pPr>
      <w:r>
        <w:rPr>
          <w:i/>
          <w:sz w:val="16"/>
        </w:rPr>
        <w:t>Default</w:t>
      </w:r>
    </w:p>
    <w:p>
      <w:pPr>
        <w:pStyle w:val="Normal"/>
        <w:jc w:val="both"/>
        <w:rPr>
          <w:i/>
          <w:i/>
          <w:sz w:val="16"/>
        </w:rPr>
      </w:pPr>
      <w:r>
        <w:rPr>
          <w:i/>
          <w:sz w:val="16"/>
        </w:rPr>
      </w:r>
    </w:p>
    <w:p>
      <w:pPr>
        <w:pStyle w:val="Normal"/>
        <w:jc w:val="both"/>
        <w:rPr/>
      </w:pPr>
      <w:r>
        <w:rPr>
          <w:sz w:val="16"/>
        </w:rPr>
        <w:t xml:space="preserve">If (i) you fail to perform your settlement obligations or in the event your Prime Broker indicates its intention not to settle, or fails to settle, any of your Prime Brokerage Transactions, as set forth in paragraph 7 of this Agreement, (ii) any representation made by you shall have been incorrect or untrue in any material respect when made, </w:t>
      </w:r>
      <w:r>
        <w:rPr>
          <w:color w:val="FF0000"/>
          <w:sz w:val="16"/>
        </w:rPr>
        <w:t>and such material misrepresentation could reasonably be expected to impair your ability to perform your obligations hereunder,.</w:t>
      </w:r>
      <w:r>
        <w:rPr>
          <w:sz w:val="16"/>
        </w:rPr>
        <w:t xml:space="preserve">(iii) you shall have admitted your inability to, or intention not to, perform any of your obligations hereunder,  (iv) you file a petition or other proceeding in bankruptcy, insolvency, or for the appointment of a receiver, or such a petition or proceeding is filed against you, (v) a levy of an attachment is made against your account(s) with the Clearing Broker, (vi)  you are a corporation that dissolves, or (vii) you shall have otherwise breached </w:t>
      </w:r>
      <w:r>
        <w:rPr>
          <w:color w:val="FF0000"/>
          <w:sz w:val="16"/>
        </w:rPr>
        <w:t xml:space="preserve">a material </w:t>
      </w:r>
      <w:r>
        <w:rPr>
          <w:sz w:val="16"/>
        </w:rPr>
        <w:t xml:space="preserve">term of this Agreement (any one being an Event of Default"), the Clearing Broker shall have the right to sell, after prior notice to you, any and all property in which you have an interest held by or for the benefit of the Clearing Broker, to buy any property that may have been sold short, to cancel any outstanding transaction and/or to purchase or sell any other securities or other securities or other instruments to offset market risk, and you shall be liable to the Clearing Broker for all losses, costs and expenses </w:t>
      </w:r>
      <w:r>
        <w:rPr>
          <w:color w:val="FF0000"/>
          <w:sz w:val="16"/>
        </w:rPr>
        <w:t>reasonably incurred as a result of</w:t>
      </w:r>
      <w:r>
        <w:rPr>
          <w:sz w:val="16"/>
        </w:rPr>
        <w:t xml:space="preserve"> such Event of Default, together with interest earned thereon from the date of such Event of  Default at the prime rate </w:t>
      </w:r>
      <w:r>
        <w:rPr>
          <w:color w:val="FF0000"/>
          <w:sz w:val="16"/>
        </w:rPr>
        <w:t>as published in the Wall Street Journal, Money Rates Section</w:t>
      </w:r>
      <w:r>
        <w:rPr>
          <w:sz w:val="16"/>
        </w:rPr>
        <w:t>, until payment in full is received by the Clearing Broker.</w:t>
      </w:r>
    </w:p>
    <w:p>
      <w:pPr>
        <w:pStyle w:val="Normal"/>
        <w:jc w:val="both"/>
        <w:rPr>
          <w:sz w:val="16"/>
        </w:rPr>
      </w:pPr>
      <w:r>
        <w:rPr>
          <w:sz w:val="16"/>
        </w:rPr>
      </w:r>
    </w:p>
    <w:p>
      <w:pPr>
        <w:pStyle w:val="Normal"/>
        <w:numPr>
          <w:ilvl w:val="0"/>
          <w:numId w:val="12"/>
        </w:numPr>
        <w:jc w:val="both"/>
        <w:rPr>
          <w:i/>
          <w:i/>
          <w:sz w:val="16"/>
        </w:rPr>
      </w:pPr>
      <w:r>
        <w:rPr>
          <w:i/>
          <w:sz w:val="16"/>
        </w:rPr>
        <w:t>Legally Binding</w:t>
      </w:r>
    </w:p>
    <w:p>
      <w:pPr>
        <w:pStyle w:val="Normal"/>
        <w:jc w:val="both"/>
        <w:rPr>
          <w:i/>
          <w:i/>
          <w:sz w:val="16"/>
        </w:rPr>
      </w:pPr>
      <w:r>
        <w:rPr>
          <w:i/>
          <w:sz w:val="16"/>
        </w:rPr>
      </w:r>
    </w:p>
    <w:p>
      <w:pPr>
        <w:pStyle w:val="Normal"/>
        <w:jc w:val="both"/>
        <w:rPr>
          <w:sz w:val="16"/>
        </w:rPr>
      </w:pPr>
      <w:r>
        <w:rPr>
          <w:sz w:val="16"/>
        </w:rPr>
        <w:t>You hereby agree that this Agreement and all the terms hereof shall be binding upon you and your successors and assigns.  You agree that all Prime Brokerage Transactions shall be for your account(s) in accordance with your oral or written instructions. You hereby waive any and all defenses that any such instruction was not in writing as may be required by the Statute of  Frauds or any other similar law, rule or regulation.</w:t>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numPr>
          <w:ilvl w:val="0"/>
          <w:numId w:val="12"/>
        </w:numPr>
        <w:jc w:val="both"/>
        <w:rPr>
          <w:i/>
          <w:i/>
          <w:sz w:val="16"/>
        </w:rPr>
      </w:pPr>
      <w:r>
        <w:rPr>
          <w:i/>
          <w:sz w:val="16"/>
        </w:rPr>
        <w:t>Clearance Accounts</w:t>
      </w:r>
    </w:p>
    <w:p>
      <w:pPr>
        <w:pStyle w:val="Normal"/>
        <w:jc w:val="both"/>
        <w:rPr>
          <w:i/>
          <w:i/>
          <w:sz w:val="16"/>
        </w:rPr>
      </w:pPr>
      <w:r>
        <w:rPr>
          <w:i/>
          <w:sz w:val="16"/>
        </w:rPr>
      </w:r>
    </w:p>
    <w:p>
      <w:pPr>
        <w:pStyle w:val="Normal"/>
        <w:jc w:val="both"/>
        <w:rPr>
          <w:sz w:val="16"/>
        </w:rPr>
      </w:pPr>
      <w:r>
        <w:rPr>
          <w:sz w:val="16"/>
        </w:rPr>
        <w:t>In the event your Prime Brokerage Transactions are executed by your broker, who has introduced your account to the Clearing Broker for clearance services only, you agree that your broker and its employees are third party beneficiaries of this Agreement, and that the terms and conditions hereof, including, but not limited to, the Arbitration and Telephone Conversations provisions, shall be applicable to all matters between or among any of you, your broker and its employees, and the Clearing Broker and its employees.</w:t>
      </w:r>
    </w:p>
    <w:p>
      <w:pPr>
        <w:pStyle w:val="Normal"/>
        <w:jc w:val="both"/>
        <w:rPr>
          <w:sz w:val="16"/>
        </w:rPr>
      </w:pPr>
      <w:r>
        <w:rPr>
          <w:sz w:val="16"/>
        </w:rPr>
      </w:r>
    </w:p>
    <w:p>
      <w:pPr>
        <w:pStyle w:val="Normal"/>
        <w:numPr>
          <w:ilvl w:val="0"/>
          <w:numId w:val="12"/>
        </w:numPr>
        <w:jc w:val="both"/>
        <w:rPr>
          <w:i/>
          <w:i/>
          <w:sz w:val="16"/>
        </w:rPr>
      </w:pPr>
      <w:r>
        <w:rPr>
          <w:i/>
          <w:sz w:val="16"/>
        </w:rPr>
        <w:t>Margin Account, Security Interest, Consent to Loan or</w:t>
      </w:r>
    </w:p>
    <w:p>
      <w:pPr>
        <w:pStyle w:val="Normal"/>
        <w:ind w:start="360" w:end="0"/>
        <w:jc w:val="both"/>
        <w:rPr>
          <w:i/>
          <w:i/>
          <w:sz w:val="16"/>
        </w:rPr>
      </w:pPr>
      <w:r>
        <w:rPr>
          <w:i/>
          <w:sz w:val="16"/>
        </w:rPr>
        <w:t>Pledge Securities</w:t>
      </w:r>
    </w:p>
    <w:p>
      <w:pPr>
        <w:pStyle w:val="Normal"/>
        <w:ind w:start="360" w:end="0"/>
        <w:jc w:val="both"/>
        <w:rPr>
          <w:i/>
          <w:i/>
          <w:sz w:val="16"/>
        </w:rPr>
      </w:pPr>
      <w:r>
        <w:rPr>
          <w:i/>
          <w:sz w:val="16"/>
        </w:rPr>
      </w:r>
    </w:p>
    <w:p>
      <w:pPr>
        <w:pStyle w:val="Normal"/>
        <w:tabs>
          <w:tab w:val="clear" w:pos="720"/>
          <w:tab w:val="left" w:pos="180" w:leader="none"/>
        </w:tabs>
        <w:ind w:hanging="180" w:start="360" w:end="0"/>
        <w:jc w:val="both"/>
        <w:rPr>
          <w:sz w:val="16"/>
        </w:rPr>
      </w:pPr>
      <w:r>
        <w:rPr>
          <w:sz w:val="16"/>
        </w:rPr>
        <w:t>(a)You hereby agree to deposit and maintain such margin in your margin account as the Clearing Broker may in its discretion require, and you agree to pay immediately on demand any debit balance therein.  Upon your failure to pay, or at any time the Clearing Broker deems necessary for its protection, without prior demand, call or notice, the Clearing Broker shall be entitled to exercise all right and remedies provided herein.  Unless you advise us to the contrary, you represent that you are not an affiliate (as defined in Rule 144 (a)(1) under the Securities Act of 1933) of the issuer of any security held in your account.</w:t>
      </w:r>
    </w:p>
    <w:p>
      <w:pPr>
        <w:pStyle w:val="Normal"/>
        <w:tabs>
          <w:tab w:val="clear" w:pos="720"/>
          <w:tab w:val="left" w:pos="180" w:leader="none"/>
        </w:tabs>
        <w:ind w:hanging="180" w:start="360" w:end="0"/>
        <w:jc w:val="both"/>
        <w:rPr>
          <w:sz w:val="16"/>
        </w:rPr>
      </w:pPr>
      <w:r>
        <w:rPr>
          <w:sz w:val="16"/>
        </w:rPr>
      </w:r>
    </w:p>
    <w:p>
      <w:pPr>
        <w:pStyle w:val="Normal"/>
        <w:numPr>
          <w:ilvl w:val="0"/>
          <w:numId w:val="7"/>
        </w:numPr>
        <w:tabs>
          <w:tab w:val="clear" w:pos="720"/>
          <w:tab w:val="left" w:pos="180" w:leader="none"/>
        </w:tabs>
        <w:jc w:val="both"/>
        <w:rPr>
          <w:sz w:val="16"/>
        </w:rPr>
      </w:pPr>
      <w:r>
        <w:rPr>
          <w:sz w:val="16"/>
        </w:rPr>
        <w:t>As security for the payment of your obligations to the Clearing Broker, the Clearing Broker shall have a continuing security interest in all property in which you have an interest held by or for the benefit of the Clearing Broker and may, after prior notice to your, use, apply or transfer any such property.  In the event of a breach or default under this Agreement, the Clearing Broker shall have all rights and remedies available to a secured creditor in addition  to the rights and remedies provided herein..</w:t>
      </w:r>
    </w:p>
    <w:p>
      <w:pPr>
        <w:pStyle w:val="Normal"/>
        <w:tabs>
          <w:tab w:val="clear" w:pos="720"/>
          <w:tab w:val="left" w:pos="180" w:leader="none"/>
        </w:tabs>
        <w:jc w:val="both"/>
        <w:rPr>
          <w:sz w:val="16"/>
        </w:rPr>
      </w:pPr>
      <w:r>
        <w:rPr>
          <w:sz w:val="16"/>
        </w:rPr>
      </w:r>
    </w:p>
    <w:p>
      <w:pPr>
        <w:pStyle w:val="Normal"/>
        <w:numPr>
          <w:ilvl w:val="0"/>
          <w:numId w:val="7"/>
        </w:numPr>
        <w:tabs>
          <w:tab w:val="clear" w:pos="720"/>
          <w:tab w:val="left" w:pos="180" w:leader="none"/>
        </w:tabs>
        <w:jc w:val="both"/>
        <w:rPr>
          <w:sz w:val="16"/>
        </w:rPr>
      </w:pPr>
      <w:r>
        <w:rPr>
          <w:sz w:val="16"/>
        </w:rPr>
        <w:t xml:space="preserve">    </w:t>
      </w:r>
      <w:r>
        <w:rPr>
          <w:sz w:val="16"/>
        </w:rPr>
        <w:t>Within the limit of applicable law and regulations, you hereby authorize the Clearing Broker to lend either to itself  or to others any securities held by or for the benefit of the Clearing Broker in your account, together with all attendant rights of ownership, and to use all such property  as collateral for its general loans.  Any such property, together with all attendant rights of ownership, may be pledged, repledged, hypothecated or rehypothecated either separately or in common with other such property for any amounts due to the Clearing Broker theron or for a greater sum, and the Clearing Broker shall have no obligation to retain a like amount of similar property in its possession and control.</w:t>
      </w:r>
    </w:p>
    <w:p>
      <w:pPr>
        <w:pStyle w:val="Normal"/>
        <w:tabs>
          <w:tab w:val="clear" w:pos="720"/>
          <w:tab w:val="left" w:pos="180" w:leader="none"/>
        </w:tabs>
        <w:jc w:val="both"/>
        <w:rPr>
          <w:sz w:val="16"/>
        </w:rPr>
      </w:pPr>
      <w:r>
        <w:rPr>
          <w:sz w:val="16"/>
        </w:rPr>
      </w:r>
    </w:p>
    <w:p>
      <w:pPr>
        <w:pStyle w:val="Normal"/>
        <w:numPr>
          <w:ilvl w:val="0"/>
          <w:numId w:val="7"/>
        </w:numPr>
        <w:tabs>
          <w:tab w:val="clear" w:pos="720"/>
          <w:tab w:val="left" w:pos="180" w:leader="none"/>
        </w:tabs>
        <w:jc w:val="both"/>
        <w:rPr>
          <w:sz w:val="16"/>
        </w:rPr>
      </w:pPr>
      <w:r>
        <w:rPr>
          <w:sz w:val="16"/>
        </w:rPr>
        <w:t xml:space="preserve">You hereby acknowledge receipt of the Clearing Broker's Truth-in-Lending disclosure statement.  You understand that interest will be charged on any debit balances in your account, in accordance with the methods described in such statement or in any amendment or revision thereto which may be provided to you.  Any debit balance which is not paid at the close of an interest period will be added to the opening balance for the next interest period.                </w:t>
      </w:r>
    </w:p>
    <w:p>
      <w:pPr>
        <w:pStyle w:val="Normal"/>
        <w:tabs>
          <w:tab w:val="clear" w:pos="720"/>
          <w:tab w:val="left" w:pos="180" w:leader="none"/>
        </w:tabs>
        <w:jc w:val="both"/>
        <w:rPr>
          <w:sz w:val="16"/>
        </w:rPr>
      </w:pPr>
      <w:r>
        <w:rPr>
          <w:sz w:val="16"/>
        </w:rPr>
      </w:r>
    </w:p>
    <w:p>
      <w:pPr>
        <w:pStyle w:val="Normal"/>
        <w:numPr>
          <w:ilvl w:val="0"/>
          <w:numId w:val="12"/>
        </w:numPr>
        <w:tabs>
          <w:tab w:val="clear" w:pos="720"/>
          <w:tab w:val="left" w:pos="180" w:leader="none"/>
        </w:tabs>
        <w:jc w:val="both"/>
        <w:rPr>
          <w:i/>
          <w:i/>
          <w:sz w:val="16"/>
        </w:rPr>
      </w:pPr>
      <w:r>
        <w:rPr>
          <w:i/>
          <w:sz w:val="16"/>
        </w:rPr>
        <w:t>Amendment; Entire Agreement</w:t>
      </w:r>
    </w:p>
    <w:p>
      <w:pPr>
        <w:pStyle w:val="Normal"/>
        <w:tabs>
          <w:tab w:val="clear" w:pos="720"/>
          <w:tab w:val="left" w:pos="180" w:leader="none"/>
        </w:tabs>
        <w:jc w:val="both"/>
        <w:rPr>
          <w:i/>
          <w:i/>
          <w:sz w:val="16"/>
        </w:rPr>
      </w:pPr>
      <w:r>
        <w:rPr>
          <w:i/>
          <w:sz w:val="16"/>
        </w:rPr>
      </w:r>
    </w:p>
    <w:p>
      <w:pPr>
        <w:pStyle w:val="Normal"/>
        <w:tabs>
          <w:tab w:val="clear" w:pos="720"/>
          <w:tab w:val="left" w:pos="180" w:leader="none"/>
        </w:tabs>
        <w:jc w:val="both"/>
        <w:rPr>
          <w:sz w:val="16"/>
        </w:rPr>
      </w:pPr>
      <w:r>
        <w:rPr>
          <w:sz w:val="16"/>
        </w:rPr>
        <w:t>This Agreement may be amended or modified only by an agreement in writing signed by each of the parties hereto.  Either party shall have the right to terminate the Agreement with or withoutcause, at any time, upon written notice to the other party, which termination shall be effective at the end of the day which notice of termination is given.  Except as set forth above, this Agreement represents the entire agreement and understanding between you and the Clearing Broker concerning the subject matter hereof .</w:t>
      </w:r>
    </w:p>
    <w:p>
      <w:pPr>
        <w:pStyle w:val="Normal"/>
        <w:tabs>
          <w:tab w:val="clear" w:pos="720"/>
          <w:tab w:val="left" w:pos="180" w:leader="none"/>
        </w:tabs>
        <w:jc w:val="both"/>
        <w:rPr>
          <w:sz w:val="16"/>
        </w:rPr>
      </w:pPr>
      <w:r>
        <w:rPr>
          <w:sz w:val="16"/>
        </w:rPr>
      </w:r>
    </w:p>
    <w:p>
      <w:pPr>
        <w:pStyle w:val="Normal"/>
        <w:numPr>
          <w:ilvl w:val="0"/>
          <w:numId w:val="12"/>
        </w:numPr>
        <w:tabs>
          <w:tab w:val="clear" w:pos="720"/>
          <w:tab w:val="left" w:pos="180" w:leader="none"/>
        </w:tabs>
        <w:jc w:val="both"/>
        <w:rPr>
          <w:i/>
          <w:i/>
          <w:sz w:val="16"/>
        </w:rPr>
      </w:pPr>
      <w:r>
        <w:rPr>
          <w:i/>
          <w:sz w:val="16"/>
        </w:rPr>
        <w:t>Telephone Conversations</w:t>
      </w:r>
    </w:p>
    <w:p>
      <w:pPr>
        <w:pStyle w:val="Normal"/>
        <w:tabs>
          <w:tab w:val="clear" w:pos="720"/>
          <w:tab w:val="left" w:pos="180" w:leader="none"/>
        </w:tabs>
        <w:jc w:val="both"/>
        <w:rPr>
          <w:i/>
          <w:i/>
          <w:sz w:val="16"/>
        </w:rPr>
      </w:pPr>
      <w:r>
        <w:rPr>
          <w:i/>
          <w:sz w:val="16"/>
        </w:rPr>
      </w:r>
    </w:p>
    <w:p>
      <w:pPr>
        <w:pStyle w:val="Normal"/>
        <w:tabs>
          <w:tab w:val="clear" w:pos="720"/>
          <w:tab w:val="left" w:pos="180" w:leader="none"/>
        </w:tabs>
        <w:jc w:val="both"/>
        <w:rPr>
          <w:sz w:val="16"/>
        </w:rPr>
      </w:pPr>
      <w:r>
        <w:rPr>
          <w:sz w:val="16"/>
        </w:rPr>
        <w:t>For the protection of both parties, and as a tool to correct misunderstanding, each party hereby authorizes the oher, in its discretion and without prior notice to the other, to monitor and/or record any or all telephone conversations between you, the Clearing Broker and any of your or the Clearing Broker's employees or agents.</w:t>
      </w:r>
    </w:p>
    <w:p>
      <w:pPr>
        <w:pStyle w:val="Normal"/>
        <w:tabs>
          <w:tab w:val="clear" w:pos="720"/>
          <w:tab w:val="left" w:pos="180" w:leader="none"/>
        </w:tabs>
        <w:jc w:val="both"/>
        <w:rPr>
          <w:sz w:val="16"/>
        </w:rPr>
      </w:pPr>
      <w:r>
        <w:rPr>
          <w:sz w:val="16"/>
        </w:rPr>
      </w:r>
    </w:p>
    <w:p>
      <w:pPr>
        <w:pStyle w:val="Normal"/>
        <w:tabs>
          <w:tab w:val="clear" w:pos="720"/>
          <w:tab w:val="left" w:pos="180" w:leader="none"/>
        </w:tabs>
        <w:jc w:val="both"/>
        <w:rPr/>
      </w:pPr>
      <w:r>
        <w:rPr>
          <w:sz w:val="16"/>
        </w:rPr>
        <w:t xml:space="preserve">You acknowledge that </w:t>
      </w:r>
      <w:r>
        <w:rPr>
          <w:color w:val="FF0000"/>
          <w:sz w:val="16"/>
        </w:rPr>
        <w:t>either party</w:t>
      </w:r>
      <w:r>
        <w:rPr>
          <w:sz w:val="16"/>
        </w:rPr>
        <w:t xml:space="preserve"> may determine not to make or keep such recordings and such determination shall not in any way affect any party's rights.  </w:t>
      </w:r>
    </w:p>
    <w:p>
      <w:pPr>
        <w:pStyle w:val="Normal"/>
        <w:tabs>
          <w:tab w:val="clear" w:pos="720"/>
          <w:tab w:val="left" w:pos="180" w:leader="none"/>
        </w:tabs>
        <w:jc w:val="both"/>
        <w:rPr>
          <w:sz w:val="16"/>
        </w:rPr>
      </w:pPr>
      <w:r>
        <w:rPr>
          <w:sz w:val="16"/>
        </w:rPr>
      </w:r>
    </w:p>
    <w:p>
      <w:pPr>
        <w:pStyle w:val="Normal"/>
        <w:numPr>
          <w:ilvl w:val="0"/>
          <w:numId w:val="12"/>
        </w:numPr>
        <w:tabs>
          <w:tab w:val="clear" w:pos="720"/>
          <w:tab w:val="left" w:pos="180" w:leader="none"/>
        </w:tabs>
        <w:jc w:val="both"/>
        <w:rPr>
          <w:i/>
          <w:i/>
          <w:sz w:val="16"/>
        </w:rPr>
      </w:pPr>
      <w:r>
        <w:rPr>
          <w:i/>
          <w:sz w:val="16"/>
        </w:rPr>
        <w:t>Assignability</w:t>
      </w:r>
    </w:p>
    <w:p>
      <w:pPr>
        <w:pStyle w:val="Normal"/>
        <w:tabs>
          <w:tab w:val="clear" w:pos="720"/>
          <w:tab w:val="left" w:pos="180" w:leader="none"/>
        </w:tabs>
        <w:jc w:val="both"/>
        <w:rPr>
          <w:i/>
          <w:i/>
          <w:sz w:val="16"/>
        </w:rPr>
      </w:pPr>
      <w:r>
        <w:rPr>
          <w:i/>
          <w:sz w:val="16"/>
        </w:rPr>
      </w:r>
    </w:p>
    <w:p>
      <w:pPr>
        <w:pStyle w:val="Normal"/>
        <w:tabs>
          <w:tab w:val="clear" w:pos="720"/>
          <w:tab w:val="left" w:pos="180" w:leader="none"/>
        </w:tabs>
        <w:jc w:val="both"/>
        <w:rPr/>
      </w:pPr>
      <w:r>
        <w:rPr>
          <w:sz w:val="16"/>
        </w:rPr>
        <w:t>This Agreement and the rights and obligations arising out of the Prime Brokerage Transactions cleared pursuant hereto may not be assigned without the prior written consent of the other party, other than by the Clearing Broker as part of a general transfer of the Clearing Broker's business</w:t>
      </w:r>
      <w:r>
        <w:rPr>
          <w:color w:val="FF0000"/>
          <w:sz w:val="16"/>
        </w:rPr>
        <w:t>.</w:t>
      </w:r>
    </w:p>
    <w:p>
      <w:pPr>
        <w:pStyle w:val="Normal"/>
        <w:tabs>
          <w:tab w:val="clear" w:pos="720"/>
          <w:tab w:val="left" w:pos="180" w:leader="none"/>
        </w:tabs>
        <w:jc w:val="both"/>
        <w:rPr>
          <w:color w:val="FF0000"/>
          <w:sz w:val="16"/>
        </w:rPr>
      </w:pPr>
      <w:r>
        <w:rPr>
          <w:color w:val="FF0000"/>
          <w:sz w:val="16"/>
        </w:rPr>
      </w:r>
    </w:p>
    <w:p>
      <w:pPr>
        <w:pStyle w:val="Normal"/>
        <w:numPr>
          <w:ilvl w:val="0"/>
          <w:numId w:val="12"/>
        </w:numPr>
        <w:tabs>
          <w:tab w:val="clear" w:pos="720"/>
          <w:tab w:val="left" w:pos="180" w:leader="none"/>
        </w:tabs>
        <w:jc w:val="both"/>
        <w:rPr>
          <w:i/>
          <w:i/>
          <w:sz w:val="16"/>
        </w:rPr>
      </w:pPr>
      <w:r>
        <w:rPr>
          <w:i/>
          <w:sz w:val="16"/>
        </w:rPr>
        <w:t>Severability</w:t>
      </w:r>
    </w:p>
    <w:p>
      <w:pPr>
        <w:pStyle w:val="Normal"/>
        <w:tabs>
          <w:tab w:val="clear" w:pos="720"/>
          <w:tab w:val="left" w:pos="180" w:leader="none"/>
        </w:tabs>
        <w:jc w:val="both"/>
        <w:rPr>
          <w:i/>
          <w:i/>
          <w:sz w:val="16"/>
        </w:rPr>
      </w:pPr>
      <w:r>
        <w:rPr>
          <w:i/>
          <w:sz w:val="16"/>
        </w:rPr>
      </w:r>
    </w:p>
    <w:p>
      <w:pPr>
        <w:pStyle w:val="Normal"/>
        <w:tabs>
          <w:tab w:val="clear" w:pos="720"/>
          <w:tab w:val="left" w:pos="180" w:leader="none"/>
        </w:tabs>
        <w:jc w:val="both"/>
        <w:rPr>
          <w:sz w:val="16"/>
        </w:rPr>
      </w:pPr>
      <w:r>
        <w:rPr>
          <w:sz w:val="16"/>
        </w:rPr>
        <w:t>If any provision of this Agreement is or becomes inconsistent with any applicable present or future law, rule or regulation, that provision shall be deemed modified or, if necessary, rescinded in order to comply with the relevant law, rule or regulation.  All other provisions of this agreement shall continue to remain in full force and effect.</w:t>
      </w:r>
    </w:p>
    <w:p>
      <w:pPr>
        <w:pStyle w:val="Normal"/>
        <w:tabs>
          <w:tab w:val="clear" w:pos="720"/>
          <w:tab w:val="left" w:pos="180" w:leader="none"/>
        </w:tabs>
        <w:jc w:val="both"/>
        <w:rPr>
          <w:sz w:val="16"/>
        </w:rPr>
      </w:pPr>
      <w:r>
        <w:rPr>
          <w:sz w:val="16"/>
        </w:rPr>
      </w:r>
    </w:p>
    <w:p>
      <w:pPr>
        <w:pStyle w:val="Normal"/>
        <w:numPr>
          <w:ilvl w:val="0"/>
          <w:numId w:val="12"/>
        </w:numPr>
        <w:tabs>
          <w:tab w:val="clear" w:pos="720"/>
          <w:tab w:val="left" w:pos="180" w:leader="none"/>
        </w:tabs>
        <w:jc w:val="both"/>
        <w:rPr>
          <w:i/>
          <w:i/>
          <w:sz w:val="16"/>
        </w:rPr>
      </w:pPr>
      <w:r>
        <w:rPr>
          <w:i/>
          <w:sz w:val="16"/>
        </w:rPr>
        <w:t>Extraordinary Events</w:t>
      </w:r>
    </w:p>
    <w:p>
      <w:pPr>
        <w:pStyle w:val="Normal"/>
        <w:tabs>
          <w:tab w:val="clear" w:pos="720"/>
          <w:tab w:val="left" w:pos="180" w:leader="none"/>
        </w:tabs>
        <w:jc w:val="both"/>
        <w:rPr>
          <w:i/>
          <w:i/>
          <w:sz w:val="16"/>
        </w:rPr>
      </w:pPr>
      <w:r>
        <w:rPr>
          <w:i/>
          <w:sz w:val="16"/>
        </w:rPr>
      </w:r>
    </w:p>
    <w:p>
      <w:pPr>
        <w:pStyle w:val="Normal"/>
        <w:tabs>
          <w:tab w:val="clear" w:pos="720"/>
          <w:tab w:val="left" w:pos="180" w:leader="none"/>
        </w:tabs>
        <w:jc w:val="both"/>
        <w:rPr>
          <w:sz w:val="16"/>
        </w:rPr>
      </w:pPr>
      <w:r>
        <w:rPr>
          <w:sz w:val="16"/>
        </w:rPr>
        <w:t>The Clearing Broker shall not be liable for losses caused directly or indirectly by government restrictions, exchange or market rulings, suspension of trading, war strikes or other conditions beyond its control.</w:t>
      </w:r>
    </w:p>
    <w:p>
      <w:pPr>
        <w:pStyle w:val="Normal"/>
        <w:tabs>
          <w:tab w:val="clear" w:pos="720"/>
          <w:tab w:val="left" w:pos="180" w:leader="none"/>
        </w:tabs>
        <w:jc w:val="both"/>
        <w:rPr>
          <w:sz w:val="16"/>
        </w:rPr>
      </w:pPr>
      <w:r>
        <w:rPr>
          <w:sz w:val="16"/>
        </w:rPr>
      </w:r>
    </w:p>
    <w:p>
      <w:pPr>
        <w:pStyle w:val="Normal"/>
        <w:numPr>
          <w:ilvl w:val="0"/>
          <w:numId w:val="12"/>
        </w:numPr>
        <w:tabs>
          <w:tab w:val="clear" w:pos="720"/>
          <w:tab w:val="left" w:pos="180" w:leader="none"/>
        </w:tabs>
        <w:jc w:val="both"/>
        <w:rPr>
          <w:i/>
          <w:i/>
          <w:sz w:val="16"/>
        </w:rPr>
      </w:pPr>
      <w:r>
        <w:rPr>
          <w:i/>
          <w:sz w:val="16"/>
        </w:rPr>
        <w:t>Headings</w:t>
      </w:r>
    </w:p>
    <w:p>
      <w:pPr>
        <w:pStyle w:val="Normal"/>
        <w:tabs>
          <w:tab w:val="clear" w:pos="720"/>
          <w:tab w:val="left" w:pos="180" w:leader="none"/>
        </w:tabs>
        <w:jc w:val="both"/>
        <w:rPr>
          <w:i/>
          <w:i/>
          <w:sz w:val="16"/>
        </w:rPr>
      </w:pPr>
      <w:r>
        <w:rPr>
          <w:i/>
          <w:sz w:val="16"/>
        </w:rPr>
      </w:r>
    </w:p>
    <w:p>
      <w:pPr>
        <w:pStyle w:val="Normal"/>
        <w:tabs>
          <w:tab w:val="clear" w:pos="720"/>
          <w:tab w:val="left" w:pos="180" w:leader="none"/>
        </w:tabs>
        <w:jc w:val="both"/>
        <w:rPr>
          <w:sz w:val="16"/>
        </w:rPr>
      </w:pPr>
      <w:r>
        <w:rPr>
          <w:sz w:val="16"/>
        </w:rPr>
        <w:t>The headings of the provisions hereof are for descriptive purposes only and shall not modify or qualify any of the rights or obligations set forth in such  provisions.</w:t>
      </w:r>
    </w:p>
    <w:p>
      <w:pPr>
        <w:pStyle w:val="Normal"/>
        <w:tabs>
          <w:tab w:val="clear" w:pos="720"/>
          <w:tab w:val="left" w:pos="180" w:leader="none"/>
        </w:tabs>
        <w:jc w:val="both"/>
        <w:rPr>
          <w:sz w:val="16"/>
        </w:rPr>
      </w:pPr>
      <w:r>
        <w:rPr>
          <w:sz w:val="16"/>
        </w:rPr>
      </w:r>
    </w:p>
    <w:p>
      <w:pPr>
        <w:pStyle w:val="Normal"/>
        <w:numPr>
          <w:ilvl w:val="0"/>
          <w:numId w:val="12"/>
        </w:numPr>
        <w:tabs>
          <w:tab w:val="clear" w:pos="720"/>
          <w:tab w:val="left" w:pos="180" w:leader="none"/>
        </w:tabs>
        <w:jc w:val="both"/>
        <w:rPr>
          <w:i/>
          <w:i/>
          <w:sz w:val="16"/>
        </w:rPr>
      </w:pPr>
      <w:r>
        <w:rPr>
          <w:i/>
          <w:sz w:val="16"/>
        </w:rPr>
        <w:t>Governing Law</w:t>
      </w:r>
    </w:p>
    <w:p>
      <w:pPr>
        <w:pStyle w:val="Normal"/>
        <w:tabs>
          <w:tab w:val="clear" w:pos="720"/>
          <w:tab w:val="left" w:pos="180" w:leader="none"/>
        </w:tabs>
        <w:jc w:val="both"/>
        <w:rPr>
          <w:i/>
          <w:i/>
          <w:sz w:val="16"/>
        </w:rPr>
      </w:pPr>
      <w:r>
        <w:rPr>
          <w:i/>
          <w:sz w:val="16"/>
        </w:rPr>
      </w:r>
    </w:p>
    <w:p>
      <w:pPr>
        <w:pStyle w:val="Normal"/>
        <w:tabs>
          <w:tab w:val="clear" w:pos="720"/>
          <w:tab w:val="left" w:pos="180" w:leader="none"/>
        </w:tabs>
        <w:jc w:val="both"/>
        <w:rPr/>
      </w:pPr>
      <w:r>
        <w:rPr>
          <w:sz w:val="16"/>
        </w:rPr>
        <w:t xml:space="preserve">This Agreement shall be governed by the laws of  </w:t>
      </w:r>
      <w:r>
        <w:rPr>
          <w:b/>
          <w:sz w:val="16"/>
          <w:u w:val="single"/>
        </w:rPr>
        <w:t>NEW YORK</w:t>
      </w:r>
      <w:r>
        <w:rPr>
          <w:sz w:val="16"/>
        </w:rPr>
        <w:t xml:space="preserve"> without giving effect to the conflicts of law principles thereof</w:t>
      </w:r>
      <w:r>
        <w:rPr>
          <w:color w:val="FF0000"/>
          <w:sz w:val="16"/>
        </w:rPr>
        <w:t xml:space="preserve"> other than Section 5-1401 of the New York General Obligations Law</w:t>
      </w:r>
      <w:r>
        <w:rPr>
          <w:sz w:val="16"/>
        </w:rPr>
        <w:t>.</w:t>
      </w:r>
    </w:p>
    <w:p>
      <w:pPr>
        <w:pStyle w:val="Normal"/>
        <w:tabs>
          <w:tab w:val="clear" w:pos="720"/>
          <w:tab w:val="left" w:pos="180" w:leader="none"/>
        </w:tabs>
        <w:jc w:val="both"/>
        <w:rPr>
          <w:sz w:val="16"/>
        </w:rPr>
      </w:pPr>
      <w:r>
        <w:rPr>
          <w:sz w:val="16"/>
        </w:rPr>
      </w:r>
    </w:p>
    <w:p>
      <w:pPr>
        <w:pStyle w:val="Normal"/>
        <w:tabs>
          <w:tab w:val="clear" w:pos="720"/>
          <w:tab w:val="left" w:pos="180" w:leader="none"/>
        </w:tabs>
        <w:jc w:val="both"/>
        <w:rPr>
          <w:sz w:val="16"/>
        </w:rPr>
      </w:pPr>
      <w:r>
        <w:rPr>
          <w:sz w:val="16"/>
        </w:rPr>
      </w:r>
    </w:p>
    <w:p>
      <w:pPr>
        <w:pStyle w:val="Normal"/>
        <w:numPr>
          <w:ilvl w:val="0"/>
          <w:numId w:val="12"/>
        </w:numPr>
        <w:tabs>
          <w:tab w:val="clear" w:pos="720"/>
          <w:tab w:val="left" w:pos="180" w:leader="none"/>
        </w:tabs>
        <w:jc w:val="both"/>
        <w:rPr>
          <w:i/>
          <w:i/>
          <w:sz w:val="16"/>
        </w:rPr>
      </w:pPr>
      <w:r>
        <w:rPr>
          <w:i/>
          <w:sz w:val="16"/>
        </w:rPr>
        <w:t>Limitation of Liability</w:t>
      </w:r>
    </w:p>
    <w:p>
      <w:pPr>
        <w:pStyle w:val="Normal"/>
        <w:tabs>
          <w:tab w:val="clear" w:pos="720"/>
          <w:tab w:val="left" w:pos="180" w:leader="none"/>
        </w:tabs>
        <w:jc w:val="both"/>
        <w:rPr>
          <w:i/>
          <w:i/>
          <w:sz w:val="16"/>
        </w:rPr>
      </w:pPr>
      <w:r>
        <w:rPr>
          <w:i/>
          <w:sz w:val="16"/>
        </w:rPr>
      </w:r>
    </w:p>
    <w:p>
      <w:pPr>
        <w:pStyle w:val="Normal"/>
        <w:tabs>
          <w:tab w:val="clear" w:pos="720"/>
          <w:tab w:val="left" w:pos="180" w:leader="none"/>
        </w:tabs>
        <w:jc w:val="both"/>
        <w:rPr>
          <w:sz w:val="16"/>
        </w:rPr>
      </w:pPr>
      <w:r>
        <w:rPr>
          <w:sz w:val="16"/>
        </w:rPr>
        <w:t>NO PARTY SHALL BE REQUIRED TO PAY OR TO BE LIABLE FOR SPECIAL, PUNITIVE, CONSEQUENTIAL OR INDIRECT DAMAGES (WHETHER OR NOT ARISING FROM ITS NEGLIGENCE) TO ANY OTHER PARTY.</w:t>
      </w:r>
    </w:p>
    <w:p>
      <w:pPr>
        <w:pStyle w:val="Normal"/>
        <w:tabs>
          <w:tab w:val="clear" w:pos="720"/>
          <w:tab w:val="left" w:pos="180" w:leader="none"/>
        </w:tabs>
        <w:jc w:val="both"/>
        <w:rPr>
          <w:sz w:val="16"/>
        </w:rPr>
      </w:pPr>
      <w:r>
        <w:rPr>
          <w:sz w:val="16"/>
        </w:rPr>
      </w:r>
    </w:p>
    <w:p>
      <w:pPr>
        <w:pStyle w:val="Normal"/>
        <w:numPr>
          <w:ilvl w:val="0"/>
          <w:numId w:val="12"/>
        </w:numPr>
        <w:tabs>
          <w:tab w:val="clear" w:pos="720"/>
          <w:tab w:val="left" w:pos="180" w:leader="none"/>
        </w:tabs>
        <w:jc w:val="both"/>
        <w:rPr>
          <w:i/>
          <w:i/>
          <w:sz w:val="16"/>
        </w:rPr>
      </w:pPr>
      <w:r>
        <w:rPr>
          <w:i/>
          <w:sz w:val="16"/>
        </w:rPr>
        <w:t>Arbitration Disclosures</w:t>
      </w:r>
    </w:p>
    <w:p>
      <w:pPr>
        <w:pStyle w:val="Normal"/>
        <w:tabs>
          <w:tab w:val="clear" w:pos="720"/>
          <w:tab w:val="left" w:pos="180" w:leader="none"/>
        </w:tabs>
        <w:jc w:val="both"/>
        <w:rPr>
          <w:i/>
          <w:i/>
          <w:sz w:val="16"/>
        </w:rPr>
      </w:pPr>
      <w:r>
        <w:rPr>
          <w:i/>
          <w:sz w:val="16"/>
        </w:rPr>
      </w:r>
    </w:p>
    <w:p>
      <w:pPr>
        <w:pStyle w:val="Normal"/>
        <w:numPr>
          <w:ilvl w:val="0"/>
          <w:numId w:val="10"/>
        </w:numPr>
        <w:tabs>
          <w:tab w:val="clear" w:pos="720"/>
          <w:tab w:val="left" w:pos="180" w:leader="none"/>
        </w:tabs>
        <w:jc w:val="both"/>
        <w:rPr>
          <w:sz w:val="16"/>
        </w:rPr>
      </w:pPr>
      <w:r>
        <w:rPr>
          <w:sz w:val="16"/>
        </w:rPr>
        <w:t>Arbitration is final and binding on the parties.</w:t>
      </w:r>
    </w:p>
    <w:p>
      <w:pPr>
        <w:pStyle w:val="Normal"/>
        <w:tabs>
          <w:tab w:val="clear" w:pos="720"/>
          <w:tab w:val="left" w:pos="180" w:leader="none"/>
        </w:tabs>
        <w:jc w:val="both"/>
        <w:rPr>
          <w:sz w:val="16"/>
        </w:rPr>
      </w:pPr>
      <w:r>
        <w:rPr>
          <w:sz w:val="16"/>
        </w:rPr>
      </w:r>
    </w:p>
    <w:p>
      <w:pPr>
        <w:pStyle w:val="Normal"/>
        <w:numPr>
          <w:ilvl w:val="0"/>
          <w:numId w:val="4"/>
        </w:numPr>
        <w:tabs>
          <w:tab w:val="clear" w:pos="720"/>
          <w:tab w:val="left" w:pos="180" w:leader="none"/>
        </w:tabs>
        <w:ind w:hanging="0" w:start="0" w:end="0"/>
        <w:jc w:val="both"/>
        <w:rPr>
          <w:sz w:val="16"/>
        </w:rPr>
      </w:pPr>
      <w:r>
        <w:rPr>
          <w:sz w:val="16"/>
        </w:rPr>
        <w:t xml:space="preserve">The parties are waiving their right to seek remedies in     </w:t>
      </w:r>
    </w:p>
    <w:p>
      <w:pPr>
        <w:pStyle w:val="Normal"/>
        <w:jc w:val="both"/>
        <w:rPr>
          <w:sz w:val="16"/>
        </w:rPr>
      </w:pPr>
      <w:r>
        <w:rPr>
          <w:sz w:val="16"/>
        </w:rPr>
        <w:t xml:space="preserve">     </w:t>
      </w:r>
      <w:r>
        <w:rPr>
          <w:sz w:val="16"/>
        </w:rPr>
        <w:t>Court, including the right to jury trial.</w:t>
      </w:r>
    </w:p>
    <w:p>
      <w:pPr>
        <w:pStyle w:val="Normal"/>
        <w:jc w:val="both"/>
        <w:rPr>
          <w:sz w:val="16"/>
        </w:rPr>
      </w:pPr>
      <w:r>
        <w:rPr>
          <w:sz w:val="16"/>
        </w:rPr>
      </w:r>
    </w:p>
    <w:p>
      <w:pPr>
        <w:pStyle w:val="Normal"/>
        <w:numPr>
          <w:ilvl w:val="0"/>
          <w:numId w:val="11"/>
        </w:numPr>
        <w:tabs>
          <w:tab w:val="clear" w:pos="720"/>
          <w:tab w:val="left" w:pos="180" w:leader="none"/>
        </w:tabs>
        <w:ind w:hanging="180" w:start="180" w:end="0"/>
        <w:jc w:val="both"/>
        <w:rPr>
          <w:sz w:val="16"/>
        </w:rPr>
      </w:pPr>
      <w:r>
        <w:rPr>
          <w:sz w:val="16"/>
        </w:rPr>
        <w:t>Pre-arbitration discovery is generally more limited than and different from court proceedings.</w:t>
      </w:r>
    </w:p>
    <w:p>
      <w:pPr>
        <w:pStyle w:val="Normal"/>
        <w:jc w:val="both"/>
        <w:rPr>
          <w:sz w:val="16"/>
        </w:rPr>
      </w:pPr>
      <w:r>
        <w:rPr>
          <w:sz w:val="16"/>
        </w:rPr>
      </w:r>
    </w:p>
    <w:p>
      <w:pPr>
        <w:pStyle w:val="Normal"/>
        <w:numPr>
          <w:ilvl w:val="0"/>
          <w:numId w:val="2"/>
        </w:numPr>
        <w:tabs>
          <w:tab w:val="clear" w:pos="720"/>
          <w:tab w:val="left" w:pos="180" w:leader="none"/>
        </w:tabs>
        <w:ind w:hanging="180" w:start="180" w:end="0"/>
        <w:jc w:val="both"/>
        <w:rPr>
          <w:sz w:val="16"/>
        </w:rPr>
      </w:pPr>
      <w:r>
        <w:rPr>
          <w:sz w:val="16"/>
        </w:rPr>
        <w:t>The arbitrators' award is not required to include factual findings or legal reasoning and any party's right to appeal or to seek modification of rulings by the arbitrators is strictly limited.</w:t>
      </w:r>
    </w:p>
    <w:p>
      <w:pPr>
        <w:pStyle w:val="Normal"/>
        <w:jc w:val="both"/>
        <w:rPr>
          <w:sz w:val="16"/>
        </w:rPr>
      </w:pPr>
      <w:r>
        <w:rPr>
          <w:sz w:val="16"/>
        </w:rPr>
      </w:r>
    </w:p>
    <w:p>
      <w:pPr>
        <w:pStyle w:val="Normal"/>
        <w:numPr>
          <w:ilvl w:val="0"/>
          <w:numId w:val="5"/>
        </w:numPr>
        <w:tabs>
          <w:tab w:val="clear" w:pos="720"/>
          <w:tab w:val="left" w:pos="180" w:leader="none"/>
        </w:tabs>
        <w:ind w:hanging="180" w:start="180" w:end="0"/>
        <w:jc w:val="both"/>
        <w:rPr>
          <w:i/>
          <w:i/>
          <w:sz w:val="16"/>
        </w:rPr>
      </w:pPr>
      <w:r>
        <w:rPr>
          <w:sz w:val="16"/>
        </w:rPr>
        <w:t>The panel of arbitrators will typically include a minority of  arbitrators who were or are affiliated with the securities industry.</w:t>
      </w:r>
    </w:p>
    <w:p>
      <w:pPr>
        <w:pStyle w:val="Normal"/>
        <w:jc w:val="both"/>
        <w:rPr>
          <w:i/>
          <w:i/>
          <w:sz w:val="16"/>
        </w:rPr>
      </w:pPr>
      <w:r>
        <w:rPr>
          <w:i/>
          <w:sz w:val="16"/>
        </w:rPr>
      </w:r>
    </w:p>
    <w:p>
      <w:pPr>
        <w:pStyle w:val="Normal"/>
        <w:numPr>
          <w:ilvl w:val="0"/>
          <w:numId w:val="12"/>
        </w:numPr>
        <w:tabs>
          <w:tab w:val="clear" w:pos="720"/>
          <w:tab w:val="left" w:pos="180" w:leader="none"/>
        </w:tabs>
        <w:jc w:val="both"/>
        <w:rPr>
          <w:i/>
          <w:i/>
          <w:sz w:val="16"/>
        </w:rPr>
      </w:pPr>
      <w:r>
        <w:rPr>
          <w:i/>
          <w:sz w:val="16"/>
        </w:rPr>
        <w:t>Arbitration Disclosures</w:t>
      </w:r>
    </w:p>
    <w:p>
      <w:pPr>
        <w:pStyle w:val="Normal"/>
        <w:tabs>
          <w:tab w:val="clear" w:pos="720"/>
          <w:tab w:val="left" w:pos="180" w:leader="none"/>
        </w:tabs>
        <w:jc w:val="both"/>
        <w:rPr>
          <w:i/>
          <w:i/>
          <w:sz w:val="16"/>
        </w:rPr>
      </w:pPr>
      <w:r>
        <w:rPr>
          <w:i/>
          <w:sz w:val="16"/>
        </w:rPr>
      </w:r>
    </w:p>
    <w:p>
      <w:pPr>
        <w:pStyle w:val="Normal"/>
        <w:numPr>
          <w:ilvl w:val="0"/>
          <w:numId w:val="10"/>
        </w:numPr>
        <w:tabs>
          <w:tab w:val="clear" w:pos="720"/>
          <w:tab w:val="left" w:pos="180" w:leader="none"/>
        </w:tabs>
        <w:jc w:val="both"/>
        <w:rPr>
          <w:sz w:val="16"/>
        </w:rPr>
      </w:pPr>
      <w:r>
        <w:rPr>
          <w:sz w:val="16"/>
        </w:rPr>
        <w:t>Arbitration is final and binding on the parties.</w:t>
      </w:r>
    </w:p>
    <w:p>
      <w:pPr>
        <w:pStyle w:val="Normal"/>
        <w:tabs>
          <w:tab w:val="clear" w:pos="720"/>
          <w:tab w:val="left" w:pos="180" w:leader="none"/>
        </w:tabs>
        <w:jc w:val="both"/>
        <w:rPr>
          <w:sz w:val="16"/>
        </w:rPr>
      </w:pPr>
      <w:r>
        <w:rPr>
          <w:sz w:val="16"/>
        </w:rPr>
      </w:r>
    </w:p>
    <w:p>
      <w:pPr>
        <w:pStyle w:val="Normal"/>
        <w:numPr>
          <w:ilvl w:val="0"/>
          <w:numId w:val="4"/>
        </w:numPr>
        <w:tabs>
          <w:tab w:val="clear" w:pos="720"/>
          <w:tab w:val="left" w:pos="180" w:leader="none"/>
        </w:tabs>
        <w:ind w:hanging="0" w:start="0" w:end="0"/>
        <w:jc w:val="both"/>
        <w:rPr>
          <w:sz w:val="16"/>
        </w:rPr>
      </w:pPr>
      <w:r>
        <w:rPr>
          <w:sz w:val="16"/>
        </w:rPr>
        <w:t xml:space="preserve">The parties are waiving their right to seek remedies in     </w:t>
      </w:r>
    </w:p>
    <w:p>
      <w:pPr>
        <w:pStyle w:val="Normal"/>
        <w:jc w:val="both"/>
        <w:rPr>
          <w:sz w:val="16"/>
        </w:rPr>
      </w:pPr>
      <w:r>
        <w:rPr>
          <w:sz w:val="16"/>
        </w:rPr>
        <w:t xml:space="preserve">     </w:t>
      </w:r>
      <w:r>
        <w:rPr>
          <w:sz w:val="16"/>
        </w:rPr>
        <w:t>Court, including the right to jury trial.</w:t>
      </w:r>
    </w:p>
    <w:p>
      <w:pPr>
        <w:pStyle w:val="Normal"/>
        <w:jc w:val="both"/>
        <w:rPr>
          <w:sz w:val="16"/>
        </w:rPr>
      </w:pPr>
      <w:r>
        <w:rPr>
          <w:sz w:val="16"/>
        </w:rPr>
      </w:r>
    </w:p>
    <w:p>
      <w:pPr>
        <w:pStyle w:val="Normal"/>
        <w:numPr>
          <w:ilvl w:val="0"/>
          <w:numId w:val="11"/>
        </w:numPr>
        <w:tabs>
          <w:tab w:val="clear" w:pos="720"/>
          <w:tab w:val="left" w:pos="180" w:leader="none"/>
        </w:tabs>
        <w:ind w:hanging="180" w:start="180" w:end="0"/>
        <w:jc w:val="both"/>
        <w:rPr>
          <w:sz w:val="16"/>
        </w:rPr>
      </w:pPr>
      <w:r>
        <w:rPr>
          <w:sz w:val="16"/>
        </w:rPr>
        <w:t>Pre-arbitration discovery is generally more limited than and different from court proceedings.</w:t>
      </w:r>
    </w:p>
    <w:p>
      <w:pPr>
        <w:pStyle w:val="Normal"/>
        <w:jc w:val="both"/>
        <w:rPr>
          <w:sz w:val="16"/>
        </w:rPr>
      </w:pPr>
      <w:r>
        <w:rPr>
          <w:sz w:val="16"/>
        </w:rPr>
      </w:r>
    </w:p>
    <w:p>
      <w:pPr>
        <w:pStyle w:val="Normal"/>
        <w:numPr>
          <w:ilvl w:val="0"/>
          <w:numId w:val="2"/>
        </w:numPr>
        <w:tabs>
          <w:tab w:val="clear" w:pos="720"/>
          <w:tab w:val="left" w:pos="180" w:leader="none"/>
        </w:tabs>
        <w:ind w:hanging="180" w:start="180" w:end="0"/>
        <w:jc w:val="both"/>
        <w:rPr>
          <w:sz w:val="16"/>
        </w:rPr>
      </w:pPr>
      <w:r>
        <w:rPr>
          <w:sz w:val="16"/>
        </w:rPr>
        <w:t>The arbitrators' award is not required to include factual findings or legal reasoning and any party's right to appeal or to seek modification of rulings by the arbitrators is strictly limited.</w:t>
      </w:r>
    </w:p>
    <w:p>
      <w:pPr>
        <w:pStyle w:val="Normal"/>
        <w:jc w:val="both"/>
        <w:rPr>
          <w:sz w:val="16"/>
        </w:rPr>
      </w:pPr>
      <w:r>
        <w:rPr>
          <w:sz w:val="16"/>
        </w:rPr>
      </w:r>
    </w:p>
    <w:p>
      <w:pPr>
        <w:pStyle w:val="Normal"/>
        <w:numPr>
          <w:ilvl w:val="0"/>
          <w:numId w:val="5"/>
        </w:numPr>
        <w:tabs>
          <w:tab w:val="clear" w:pos="720"/>
          <w:tab w:val="left" w:pos="180" w:leader="none"/>
        </w:tabs>
        <w:ind w:hanging="180" w:start="180" w:end="0"/>
        <w:jc w:val="both"/>
        <w:rPr>
          <w:sz w:val="16"/>
        </w:rPr>
      </w:pPr>
      <w:r>
        <w:rPr>
          <w:sz w:val="16"/>
        </w:rPr>
        <w:t>The panel of arbitrators will typically include a minority of  arbitrators who were or are affiliated with the securities industry.</w:t>
      </w:r>
    </w:p>
    <w:p>
      <w:pPr>
        <w:pStyle w:val="Normal"/>
        <w:jc w:val="both"/>
        <w:rPr>
          <w:sz w:val="16"/>
        </w:rPr>
      </w:pPr>
      <w:r>
        <w:rPr>
          <w:sz w:val="16"/>
        </w:rPr>
      </w:r>
    </w:p>
    <w:p>
      <w:pPr>
        <w:pStyle w:val="Normal"/>
        <w:numPr>
          <w:ilvl w:val="0"/>
          <w:numId w:val="12"/>
        </w:numPr>
        <w:jc w:val="both"/>
        <w:rPr>
          <w:i/>
          <w:i/>
          <w:sz w:val="16"/>
        </w:rPr>
      </w:pPr>
      <w:r>
        <w:rPr>
          <w:i/>
          <w:sz w:val="16"/>
        </w:rPr>
        <w:t>Arbitration</w:t>
      </w:r>
    </w:p>
    <w:p>
      <w:pPr>
        <w:pStyle w:val="Normal"/>
        <w:jc w:val="both"/>
        <w:rPr>
          <w:i/>
          <w:i/>
          <w:sz w:val="16"/>
        </w:rPr>
      </w:pPr>
      <w:r>
        <w:rPr>
          <w:i/>
          <w:sz w:val="16"/>
        </w:rPr>
      </w:r>
    </w:p>
    <w:p>
      <w:pPr>
        <w:pStyle w:val="Normal"/>
        <w:jc w:val="both"/>
        <w:rPr>
          <w:sz w:val="16"/>
        </w:rPr>
      </w:pPr>
      <w:r>
        <w:rPr>
          <w:sz w:val="16"/>
        </w:rPr>
        <w:t>You agree, and by agreeing to maintain an account in the name of your Prime Broker and designated for your benefit, the Clearing Broker agrees, that controversies arising between you and the Clearing Broker, its control person, predecessors, subsidiaries and affiliates and all respective successors, assigns and employees, whether arising prior to, on or subsequent to the date hereof, shall be determined by arbitration. Any arbitration under this Agreement shall be conducted pursuant to the Federal Arbitration Act and the laws of the state designated in Paragraph 22, held at the facilities and before an arbitration panel appointed by American Arbitration Association, the New York Stock Exchange, Inc., the American Stock Exchange, Inc., or an arbitration facility provided by any other exchange of which the Clearing Broker is a member, the National Association of Securities Dealers, Inc. or the Municipal Securities Rulemaking Board, and in accordance with the rules then in effect of the selected organization.  You may elect one of the foregoing forums for arbitration, but if you fail to make such election by registered mail or telegram addressed to the Clearing Broker (or any other address of which you are advised in writing), before the expiration of ten days after receipt of a written request from the Clearing Broker to make such election, then the Clearing Broker may make such election.  For any arbitration solely between you and a broker for which the Clearing Broker acts as clearing agent, such election shall be made by registered mail to such broker as its principal place of business.  The award of the arbitrators, or of the majority of them, shall be final, and judgement upon the award rendered may be entered in any court, state or federal, having jurisdiction.</w:t>
      </w:r>
    </w:p>
    <w:p>
      <w:pPr>
        <w:pStyle w:val="Normal"/>
        <w:jc w:val="both"/>
        <w:rPr>
          <w:sz w:val="16"/>
        </w:rPr>
      </w:pPr>
      <w:r>
        <w:rPr>
          <w:sz w:val="16"/>
        </w:rPr>
      </w:r>
    </w:p>
    <w:p>
      <w:pPr>
        <w:pStyle w:val="Normal"/>
        <w:jc w:val="both"/>
        <w:rPr>
          <w:sz w:val="16"/>
        </w:rPr>
      </w:pPr>
      <w:r>
        <w:rPr>
          <w:sz w:val="16"/>
        </w:rPr>
        <w:t>No person shall bring a putative or certified class action to arbitration, nor seek to enforce any predispute arbitration agreement against any person who has initiated in court a putative class action; or who is a member of a putative class who has not opted out of the class with respect to any claims encompassed by the putative class action until:</w:t>
      </w:r>
    </w:p>
    <w:p>
      <w:pPr>
        <w:pStyle w:val="Normal"/>
        <w:jc w:val="both"/>
        <w:rPr>
          <w:sz w:val="16"/>
        </w:rPr>
      </w:pPr>
      <w:r>
        <w:rPr>
          <w:sz w:val="16"/>
        </w:rPr>
      </w:r>
    </w:p>
    <w:p>
      <w:pPr>
        <w:pStyle w:val="Normal"/>
        <w:numPr>
          <w:ilvl w:val="0"/>
          <w:numId w:val="8"/>
        </w:numPr>
        <w:tabs>
          <w:tab w:val="clear" w:pos="720"/>
          <w:tab w:val="left" w:pos="360" w:leader="none"/>
        </w:tabs>
        <w:jc w:val="both"/>
        <w:rPr>
          <w:sz w:val="16"/>
        </w:rPr>
      </w:pPr>
      <w:r>
        <w:rPr>
          <w:sz w:val="16"/>
        </w:rPr>
        <w:t>the class  certification is denied;</w:t>
      </w:r>
    </w:p>
    <w:p>
      <w:pPr>
        <w:pStyle w:val="Normal"/>
        <w:jc w:val="both"/>
        <w:rPr>
          <w:sz w:val="16"/>
        </w:rPr>
      </w:pPr>
      <w:r>
        <w:rPr>
          <w:sz w:val="16"/>
        </w:rPr>
      </w:r>
    </w:p>
    <w:p>
      <w:pPr>
        <w:pStyle w:val="Normal"/>
        <w:numPr>
          <w:ilvl w:val="0"/>
          <w:numId w:val="8"/>
        </w:numPr>
        <w:tabs>
          <w:tab w:val="clear" w:pos="720"/>
          <w:tab w:val="left" w:pos="360" w:leader="none"/>
        </w:tabs>
        <w:jc w:val="both"/>
        <w:rPr>
          <w:sz w:val="16"/>
        </w:rPr>
      </w:pPr>
      <w:r>
        <w:rPr>
          <w:sz w:val="16"/>
        </w:rPr>
        <w:t>the class is decertified; or</w:t>
      </w:r>
    </w:p>
    <w:p>
      <w:pPr>
        <w:pStyle w:val="Normal"/>
        <w:jc w:val="both"/>
        <w:rPr>
          <w:sz w:val="16"/>
        </w:rPr>
      </w:pPr>
      <w:r>
        <w:rPr>
          <w:sz w:val="16"/>
        </w:rPr>
      </w:r>
    </w:p>
    <w:p>
      <w:pPr>
        <w:pStyle w:val="Normal"/>
        <w:numPr>
          <w:ilvl w:val="0"/>
          <w:numId w:val="8"/>
        </w:numPr>
        <w:jc w:val="both"/>
        <w:rPr>
          <w:sz w:val="16"/>
        </w:rPr>
      </w:pPr>
      <w:r>
        <w:rPr>
          <w:sz w:val="16"/>
        </w:rPr>
        <w:t>the customer is excluded from the class by the court.   Such forbearance to enforce an agreement to arbitrate shall not constitute a waiver of any rights under this agreement except to the extent stated herein.</w:t>
      </w:r>
    </w:p>
    <w:p>
      <w:pPr>
        <w:pStyle w:val="Normal"/>
        <w:jc w:val="both"/>
        <w:rPr>
          <w:sz w:val="16"/>
        </w:rPr>
      </w:pPr>
      <w:r>
        <w:rPr>
          <w:sz w:val="16"/>
        </w:rPr>
      </w:r>
    </w:p>
    <w:p>
      <w:pPr>
        <w:sectPr>
          <w:type w:val="continuous"/>
          <w:pgSz w:w="12240" w:h="15840"/>
          <w:pgMar w:left="1800" w:right="1800" w:gutter="0" w:header="0" w:top="1170" w:footer="720" w:bottom="1080"/>
          <w:cols w:num="2" w:space="720" w:equalWidth="true" w:sep="false"/>
          <w:formProt w:val="false"/>
          <w:textDirection w:val="lrTb"/>
          <w:docGrid w:type="default" w:linePitch="360" w:charSpace="0"/>
        </w:sectPr>
        <w:pStyle w:val="Normal"/>
        <w:jc w:val="both"/>
        <w:rPr>
          <w:sz w:val="16"/>
        </w:rPr>
      </w:pPr>
      <w:r>
        <w:rPr>
          <w:sz w:val="16"/>
        </w:rPr>
      </w:r>
    </w:p>
    <w:p>
      <w:pPr>
        <w:pStyle w:val="Normal"/>
        <w:jc w:val="both"/>
        <w:rPr>
          <w:b/>
          <w:bCs/>
          <w:sz w:val="22"/>
        </w:rPr>
      </w:pPr>
      <w:r>
        <w:rPr>
          <w:b/>
          <w:bCs/>
          <w:sz w:val="22"/>
        </w:rPr>
        <w:t>This Agreement contains a pre-dispute arbitration clause at Paragraph 25.</w:t>
      </w:r>
    </w:p>
    <w:p>
      <w:pPr>
        <w:pStyle w:val="Normal"/>
        <w:jc w:val="both"/>
        <w:rPr>
          <w:b/>
          <w:bCs/>
          <w:sz w:val="16"/>
        </w:rPr>
      </w:pPr>
      <w:r>
        <w:rPr>
          <w:b/>
          <w:bCs/>
          <w:sz w:val="16"/>
        </w:rPr>
      </w:r>
    </w:p>
    <w:p>
      <w:pPr>
        <w:pStyle w:val="Normal"/>
        <w:jc w:val="both"/>
        <w:rPr>
          <w:sz w:val="16"/>
        </w:rPr>
      </w:pPr>
      <w:r>
        <w:rPr>
          <w:sz w:val="16"/>
        </w:rPr>
      </w:r>
    </w:p>
    <w:p>
      <w:pPr>
        <w:pStyle w:val="Normal"/>
        <w:jc w:val="both"/>
        <w:rPr/>
      </w:pPr>
      <w:r>
        <w:rPr/>
        <w:t>By signing this Agreement you acknowledge that:</w:t>
      </w:r>
    </w:p>
    <w:p>
      <w:pPr>
        <w:pStyle w:val="Normal"/>
        <w:jc w:val="both"/>
        <w:rPr/>
      </w:pPr>
      <w:r>
        <w:rPr/>
      </w:r>
    </w:p>
    <w:p>
      <w:pPr>
        <w:pStyle w:val="Normal"/>
        <w:numPr>
          <w:ilvl w:val="0"/>
          <w:numId w:val="3"/>
        </w:numPr>
        <w:jc w:val="both"/>
        <w:rPr/>
      </w:pPr>
      <w:r>
        <w:rPr/>
        <w:t>The securities in your margin account(s) and any securities for which you have not fully paid, together with all attendant ownership rights, may be loaned to the Clearing Broker or loaned out to others and;</w:t>
      </w:r>
    </w:p>
    <w:p>
      <w:pPr>
        <w:pStyle w:val="Normal"/>
        <w:jc w:val="both"/>
        <w:rPr/>
      </w:pPr>
      <w:r>
        <w:rPr/>
      </w:r>
    </w:p>
    <w:p>
      <w:pPr>
        <w:pStyle w:val="Normal"/>
        <w:numPr>
          <w:ilvl w:val="0"/>
          <w:numId w:val="3"/>
        </w:numPr>
        <w:jc w:val="both"/>
        <w:rPr/>
      </w:pPr>
      <w:r>
        <w:rPr/>
        <w:t>You have received a copy of this Agreement.</w:t>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8"/>
        </w:rPr>
      </w:pPr>
      <w:r>
        <w:rPr>
          <w:sz w:val="18"/>
        </w:rPr>
      </w:r>
    </w:p>
    <w:p>
      <w:pPr>
        <w:pStyle w:val="Normal"/>
        <w:jc w:val="both"/>
        <w:rPr>
          <w:sz w:val="18"/>
        </w:rPr>
      </w:pPr>
      <w:r>
        <w:rPr>
          <w:sz w:val="18"/>
        </w:rPr>
      </w:r>
    </w:p>
    <w:p>
      <w:pPr>
        <w:pStyle w:val="Normal"/>
        <w:jc w:val="both"/>
        <w:rPr>
          <w:sz w:val="18"/>
        </w:rPr>
      </w:pPr>
      <w:r>
        <w:rPr>
          <w:sz w:val="18"/>
        </w:rPr>
        <w:t xml:space="preserve">This Agreement is dated as of   </w:t>
      </w:r>
      <w:r>
        <w:rPr>
          <w:sz w:val="18"/>
        </w:rPr>
        <w:fldChar w:fldCharType="begin"/>
      </w:r>
      <w:r>
        <w:rPr>
          <w:sz w:val="18"/>
        </w:rPr>
        <w:instrText xml:space="preserve"> DATE \@"dddd', 'MMMM\ dd', 'yyyy" </w:instrText>
      </w:r>
      <w:r>
        <w:rPr>
          <w:sz w:val="18"/>
        </w:rPr>
        <w:fldChar w:fldCharType="separate"/>
      </w:r>
      <w:r>
        <w:rPr>
          <w:sz w:val="18"/>
        </w:rPr>
        <w:t>Sunday, September 28, 2025</w:t>
      </w:r>
      <w:r>
        <w:rPr>
          <w:sz w:val="18"/>
        </w:rPr>
        <w:fldChar w:fldCharType="end"/>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lang w:val="en-CA" w:eastAsia="en-CA"/>
        </w:rPr>
      </w:pPr>
      <w:r>
        <w:rPr>
          <w:sz w:val="18"/>
          <w:lang w:val="en-CA" w:eastAsia="en-CA"/>
        </w:rPr>
        <mc:AlternateContent>
          <mc:Choice Requires="wps">
            <w:drawing>
              <wp:anchor behindDoc="0" distT="0" distB="0" distL="114935" distR="114935" simplePos="0" locked="0" layoutInCell="1" allowOverlap="1" relativeHeight="9">
                <wp:simplePos x="0" y="0"/>
                <wp:positionH relativeFrom="column">
                  <wp:posOffset>0</wp:posOffset>
                </wp:positionH>
                <wp:positionV relativeFrom="paragraph">
                  <wp:posOffset>66675</wp:posOffset>
                </wp:positionV>
                <wp:extent cx="2468880" cy="0"/>
                <wp:effectExtent l="0" t="5080" r="0" b="5080"/>
                <wp:wrapNone/>
                <wp:docPr id="2" name=""/>
                <a:graphic xmlns:a="http://schemas.openxmlformats.org/drawingml/2006/main">
                  <a:graphicData uri="http://schemas.microsoft.com/office/word/2010/wordprocessingShape">
                    <wps:wsp>
                      <wps:cNvSpPr/>
                      <wps:spPr>
                        <a:xfrm>
                          <a:off x="0" y="0"/>
                          <a:ext cx="246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5.25pt" to="194.35pt,5.25pt" stroked="t" o:allowincell="f" style="position:absolute">
                <v:stroke color="black" weight="9360" joinstyle="miter" endcap="flat"/>
                <v:fill o:detectmouseclick="t" on="false"/>
                <w10:wrap type="none"/>
              </v:line>
            </w:pict>
          </mc:Fallback>
        </mc:AlternateContent>
      </w:r>
    </w:p>
    <w:p>
      <w:pPr>
        <w:pStyle w:val="Normal"/>
        <w:tabs>
          <w:tab w:val="clear" w:pos="720"/>
          <w:tab w:val="left" w:pos="180" w:leader="none"/>
        </w:tabs>
        <w:jc w:val="both"/>
        <w:rPr>
          <w:sz w:val="18"/>
        </w:rPr>
      </w:pPr>
      <w:r>
        <w:rPr>
          <w:sz w:val="18"/>
        </w:rPr>
        <w:t>(Signature)</w:t>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lang w:val="en-CA" w:eastAsia="en-CA"/>
        </w:rPr>
      </w:pPr>
      <w:r>
        <w:rPr>
          <w:sz w:val="18"/>
          <w:lang w:val="en-CA" w:eastAsia="en-CA"/>
        </w:rPr>
        <mc:AlternateContent>
          <mc:Choice Requires="wps">
            <w:drawing>
              <wp:anchor behindDoc="0" distT="0" distB="0" distL="114935" distR="114935" simplePos="0" locked="0" layoutInCell="1" allowOverlap="1" relativeHeight="10">
                <wp:simplePos x="0" y="0"/>
                <wp:positionH relativeFrom="column">
                  <wp:posOffset>0</wp:posOffset>
                </wp:positionH>
                <wp:positionV relativeFrom="paragraph">
                  <wp:posOffset>31115</wp:posOffset>
                </wp:positionV>
                <wp:extent cx="2468880" cy="0"/>
                <wp:effectExtent l="0" t="5080" r="0" b="5080"/>
                <wp:wrapNone/>
                <wp:docPr id="3" name=""/>
                <a:graphic xmlns:a="http://schemas.openxmlformats.org/drawingml/2006/main">
                  <a:graphicData uri="http://schemas.microsoft.com/office/word/2010/wordprocessingShape">
                    <wps:wsp>
                      <wps:cNvSpPr/>
                      <wps:spPr>
                        <a:xfrm>
                          <a:off x="0" y="0"/>
                          <a:ext cx="246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2.45pt" to="194.35pt,2.45pt" stroked="t" o:allowincell="f" style="position:absolute">
                <v:stroke color="black" weight="9360" joinstyle="miter" endcap="flat"/>
                <v:fill o:detectmouseclick="t" on="false"/>
                <w10:wrap type="none"/>
              </v:line>
            </w:pict>
          </mc:Fallback>
        </mc:AlternateContent>
      </w:r>
    </w:p>
    <w:p>
      <w:pPr>
        <w:pStyle w:val="Normal"/>
        <w:tabs>
          <w:tab w:val="clear" w:pos="720"/>
          <w:tab w:val="left" w:pos="180" w:leader="none"/>
        </w:tabs>
        <w:jc w:val="both"/>
        <w:rPr>
          <w:sz w:val="18"/>
        </w:rPr>
      </w:pPr>
      <w:r>
        <w:rPr>
          <w:sz w:val="18"/>
        </w:rPr>
        <w:t>(Typed or Printed Name)</w:t>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lang w:val="en-CA" w:eastAsia="en-CA"/>
        </w:rPr>
      </w:pPr>
      <w:r>
        <w:rPr>
          <w:sz w:val="18"/>
          <w:lang w:val="en-CA" w:eastAsia="en-CA"/>
        </w:rPr>
      </w:r>
    </w:p>
    <w:p>
      <w:pPr>
        <w:pStyle w:val="Normal"/>
        <w:tabs>
          <w:tab w:val="clear" w:pos="720"/>
          <w:tab w:val="left" w:pos="180" w:leader="none"/>
        </w:tabs>
        <w:jc w:val="both"/>
        <w:rPr>
          <w:sz w:val="18"/>
          <w:lang w:val="en-CA" w:eastAsia="en-CA"/>
        </w:rPr>
      </w:pPr>
      <w:r>
        <w:rPr>
          <w:sz w:val="18"/>
          <w:lang w:val="en-CA" w:eastAsia="en-CA"/>
        </w:rPr>
        <mc:AlternateContent>
          <mc:Choice Requires="wps">
            <w:drawing>
              <wp:anchor behindDoc="0" distT="0" distB="0" distL="114935" distR="114935" simplePos="0" locked="0" layoutInCell="1" allowOverlap="1" relativeHeight="12">
                <wp:simplePos x="0" y="0"/>
                <wp:positionH relativeFrom="column">
                  <wp:posOffset>0</wp:posOffset>
                </wp:positionH>
                <wp:positionV relativeFrom="paragraph">
                  <wp:posOffset>31115</wp:posOffset>
                </wp:positionV>
                <wp:extent cx="2468880" cy="0"/>
                <wp:effectExtent l="0" t="5080" r="0" b="5080"/>
                <wp:wrapNone/>
                <wp:docPr id="4" name=""/>
                <a:graphic xmlns:a="http://schemas.openxmlformats.org/drawingml/2006/main">
                  <a:graphicData uri="http://schemas.microsoft.com/office/word/2010/wordprocessingShape">
                    <wps:wsp>
                      <wps:cNvSpPr/>
                      <wps:spPr>
                        <a:xfrm>
                          <a:off x="0" y="0"/>
                          <a:ext cx="246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2.45pt" to="194.35pt,2.45pt" stroked="t" o:allowincell="f" style="position:absolute">
                <v:stroke color="black" weight="9360" joinstyle="miter" endcap="flat"/>
                <v:fill o:detectmouseclick="t" on="false"/>
                <w10:wrap type="none"/>
              </v:line>
            </w:pict>
          </mc:Fallback>
        </mc:AlternateContent>
      </w:r>
    </w:p>
    <w:p>
      <w:pPr>
        <w:pStyle w:val="Normal"/>
        <w:tabs>
          <w:tab w:val="clear" w:pos="720"/>
          <w:tab w:val="left" w:pos="180" w:leader="none"/>
        </w:tabs>
        <w:jc w:val="both"/>
        <w:rPr>
          <w:sz w:val="18"/>
        </w:rPr>
      </w:pPr>
      <w:r>
        <w:rPr>
          <w:sz w:val="18"/>
        </w:rPr>
        <w:t>(Title)</w:t>
      </w:r>
    </w:p>
    <w:p>
      <w:pPr>
        <w:pStyle w:val="Normal"/>
        <w:tabs>
          <w:tab w:val="clear" w:pos="720"/>
          <w:tab w:val="left" w:pos="180" w:leader="none"/>
        </w:tabs>
        <w:jc w:val="both"/>
        <w:rPr>
          <w:sz w:val="18"/>
          <w:lang w:val="en-CA" w:eastAsia="en-CA"/>
        </w:rPr>
      </w:pPr>
      <w:r>
        <w:rPr>
          <w:sz w:val="18"/>
          <w:lang w:val="en-CA" w:eastAsia="en-CA"/>
        </w:rPr>
      </w:r>
    </w:p>
    <w:p>
      <w:pPr>
        <w:pStyle w:val="Normal"/>
        <w:tabs>
          <w:tab w:val="clear" w:pos="720"/>
          <w:tab w:val="left" w:pos="180" w:leader="none"/>
        </w:tabs>
        <w:jc w:val="both"/>
        <w:rPr>
          <w:sz w:val="18"/>
          <w:lang w:val="en-CA" w:eastAsia="en-CA"/>
        </w:rPr>
      </w:pPr>
      <w:r>
        <w:rPr>
          <w:sz w:val="18"/>
          <w:lang w:val="en-CA" w:eastAsia="en-CA"/>
        </w:rPr>
      </w:r>
    </w:p>
    <w:p>
      <w:pPr>
        <w:pStyle w:val="Normal"/>
        <w:tabs>
          <w:tab w:val="clear" w:pos="720"/>
          <w:tab w:val="left" w:pos="180" w:leader="none"/>
        </w:tabs>
        <w:jc w:val="both"/>
        <w:rPr>
          <w:sz w:val="18"/>
          <w:lang w:val="en-CA" w:eastAsia="en-CA"/>
        </w:rPr>
      </w:pPr>
      <w:r>
        <w:rPr>
          <w:sz w:val="18"/>
          <w:lang w:val="en-CA" w:eastAsia="en-CA"/>
        </w:rPr>
      </w:r>
    </w:p>
    <w:p>
      <w:pPr>
        <w:pStyle w:val="Normal"/>
        <w:tabs>
          <w:tab w:val="clear" w:pos="720"/>
          <w:tab w:val="left" w:pos="180" w:leader="none"/>
        </w:tabs>
        <w:jc w:val="both"/>
        <w:rPr>
          <w:sz w:val="18"/>
          <w:lang w:val="en-CA" w:eastAsia="en-CA"/>
        </w:rPr>
      </w:pPr>
      <w:r>
        <w:rPr>
          <w:sz w:val="18"/>
          <w:lang w:val="en-CA" w:eastAsia="en-CA"/>
        </w:rPr>
        <mc:AlternateContent>
          <mc:Choice Requires="wps">
            <w:drawing>
              <wp:anchor behindDoc="0" distT="0" distB="0" distL="114935" distR="114935" simplePos="0" locked="0" layoutInCell="1" allowOverlap="1" relativeHeight="13">
                <wp:simplePos x="0" y="0"/>
                <wp:positionH relativeFrom="column">
                  <wp:posOffset>0</wp:posOffset>
                </wp:positionH>
                <wp:positionV relativeFrom="paragraph">
                  <wp:posOffset>66675</wp:posOffset>
                </wp:positionV>
                <wp:extent cx="2468880" cy="0"/>
                <wp:effectExtent l="0" t="5080" r="0" b="5080"/>
                <wp:wrapNone/>
                <wp:docPr id="5" name=""/>
                <a:graphic xmlns:a="http://schemas.openxmlformats.org/drawingml/2006/main">
                  <a:graphicData uri="http://schemas.microsoft.com/office/word/2010/wordprocessingShape">
                    <wps:wsp>
                      <wps:cNvSpPr/>
                      <wps:spPr>
                        <a:xfrm>
                          <a:off x="0" y="0"/>
                          <a:ext cx="246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5.25pt" to="194.35pt,5.25pt" stroked="t" o:allowincell="f" style="position:absolute">
                <v:stroke color="black" weight="9360" joinstyle="miter" endcap="flat"/>
                <v:fill o:detectmouseclick="t" on="false"/>
                <w10:wrap type="none"/>
              </v:line>
            </w:pict>
          </mc:Fallback>
        </mc:AlternateContent>
      </w:r>
    </w:p>
    <w:p>
      <w:pPr>
        <w:pStyle w:val="Normal"/>
        <w:tabs>
          <w:tab w:val="clear" w:pos="720"/>
          <w:tab w:val="left" w:pos="180" w:leader="none"/>
        </w:tabs>
        <w:jc w:val="both"/>
        <w:rPr>
          <w:sz w:val="18"/>
        </w:rPr>
      </w:pPr>
      <w:r>
        <w:rPr>
          <w:sz w:val="18"/>
        </w:rPr>
        <w:t>(Signature)</w:t>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lang w:val="en-CA" w:eastAsia="en-CA"/>
        </w:rPr>
      </w:pPr>
      <w:r>
        <w:rPr>
          <w:sz w:val="18"/>
          <w:lang w:val="en-CA" w:eastAsia="en-CA"/>
        </w:rPr>
        <mc:AlternateContent>
          <mc:Choice Requires="wps">
            <w:drawing>
              <wp:anchor behindDoc="0" distT="0" distB="0" distL="114935" distR="114935" simplePos="0" locked="0" layoutInCell="1" allowOverlap="1" relativeHeight="14">
                <wp:simplePos x="0" y="0"/>
                <wp:positionH relativeFrom="column">
                  <wp:posOffset>51435</wp:posOffset>
                </wp:positionH>
                <wp:positionV relativeFrom="paragraph">
                  <wp:posOffset>84455</wp:posOffset>
                </wp:positionV>
                <wp:extent cx="2468880" cy="0"/>
                <wp:effectExtent l="0" t="5080" r="0" b="5080"/>
                <wp:wrapNone/>
                <wp:docPr id="6" name=""/>
                <a:graphic xmlns:a="http://schemas.openxmlformats.org/drawingml/2006/main">
                  <a:graphicData uri="http://schemas.microsoft.com/office/word/2010/wordprocessingShape">
                    <wps:wsp>
                      <wps:cNvSpPr/>
                      <wps:spPr>
                        <a:xfrm>
                          <a:off x="0" y="0"/>
                          <a:ext cx="246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6.65pt" to="198.4pt,6.65pt" stroked="t" o:allowincell="f" style="position:absolute">
                <v:stroke color="black" weight="9360" joinstyle="miter" endcap="flat"/>
                <v:fill o:detectmouseclick="t" on="false"/>
                <w10:wrap type="none"/>
              </v:line>
            </w:pict>
          </mc:Fallback>
        </mc:AlternateContent>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rPr>
      </w:pPr>
      <w:r>
        <w:rPr>
          <w:sz w:val="18"/>
        </w:rPr>
        <w:t xml:space="preserve"> </w:t>
      </w:r>
      <w:r>
        <w:rPr>
          <w:sz w:val="18"/>
        </w:rPr>
        <w:t>(Typed or Printed Name)</w:t>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lang w:val="en-CA" w:eastAsia="en-CA"/>
        </w:rPr>
      </w:pPr>
      <w:r>
        <w:rPr>
          <w:sz w:val="18"/>
          <w:lang w:val="en-CA" w:eastAsia="en-CA"/>
        </w:rPr>
        <mc:AlternateContent>
          <mc:Choice Requires="wps">
            <w:drawing>
              <wp:anchor behindDoc="0" distT="0" distB="0" distL="114935" distR="114935" simplePos="0" locked="0" layoutInCell="1" allowOverlap="1" relativeHeight="15">
                <wp:simplePos x="0" y="0"/>
                <wp:positionH relativeFrom="column">
                  <wp:posOffset>51435</wp:posOffset>
                </wp:positionH>
                <wp:positionV relativeFrom="paragraph">
                  <wp:posOffset>84455</wp:posOffset>
                </wp:positionV>
                <wp:extent cx="2468880" cy="0"/>
                <wp:effectExtent l="0" t="5080" r="0" b="5080"/>
                <wp:wrapNone/>
                <wp:docPr id="7" name=""/>
                <a:graphic xmlns:a="http://schemas.openxmlformats.org/drawingml/2006/main">
                  <a:graphicData uri="http://schemas.microsoft.com/office/word/2010/wordprocessingShape">
                    <wps:wsp>
                      <wps:cNvSpPr/>
                      <wps:spPr>
                        <a:xfrm>
                          <a:off x="0" y="0"/>
                          <a:ext cx="246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6.65pt" to="198.4pt,6.65pt" stroked="t" o:allowincell="f" style="position:absolute">
                <v:stroke color="black" weight="9360" joinstyle="miter" endcap="flat"/>
                <v:fill o:detectmouseclick="t" on="false"/>
                <w10:wrap type="none"/>
              </v:line>
            </w:pict>
          </mc:Fallback>
        </mc:AlternateContent>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rPr>
      </w:pPr>
      <w:r>
        <w:rPr>
          <w:sz w:val="18"/>
        </w:rPr>
        <w:t xml:space="preserve"> </w:t>
      </w:r>
      <w:r>
        <w:rPr>
          <w:sz w:val="18"/>
        </w:rPr>
        <w:t xml:space="preserve">(Title) </w:t>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rPr>
      </w:pPr>
      <w:r>
        <w:rPr>
          <w:sz w:val="18"/>
        </w:rPr>
        <w:t>Accepted By:______________________________________</w:t>
      </w:r>
    </w:p>
    <w:p>
      <w:pPr>
        <w:pStyle w:val="Normal"/>
        <w:tabs>
          <w:tab w:val="clear" w:pos="720"/>
          <w:tab w:val="left" w:pos="180" w:leader="none"/>
        </w:tabs>
        <w:jc w:val="both"/>
        <w:rPr>
          <w:sz w:val="18"/>
        </w:rPr>
      </w:pPr>
      <w:r>
        <w:rPr>
          <w:sz w:val="18"/>
        </w:rPr>
        <w:t xml:space="preserve">                                            </w:t>
      </w:r>
      <w:r>
        <w:rPr>
          <w:sz w:val="18"/>
        </w:rPr>
        <w:t>(Clearing Broker)</w:t>
      </w:r>
    </w:p>
    <w:p>
      <w:pPr>
        <w:pStyle w:val="Normal"/>
        <w:tabs>
          <w:tab w:val="clear" w:pos="720"/>
          <w:tab w:val="left" w:pos="180" w:leader="none"/>
        </w:tabs>
        <w:jc w:val="both"/>
        <w:rPr>
          <w:sz w:val="18"/>
        </w:rPr>
      </w:pPr>
      <w:r>
        <w:rPr>
          <w:sz w:val="18"/>
        </w:rPr>
      </w:r>
    </w:p>
    <w:p>
      <w:pPr>
        <w:pStyle w:val="Heading2"/>
        <w:ind w:hanging="0" w:start="0"/>
        <w:rPr>
          <w:sz w:val="18"/>
        </w:rPr>
      </w:pPr>
      <w:r>
        <w:rPr>
          <w:sz w:val="18"/>
          <w:u w:val="none"/>
        </w:rPr>
        <w:t>Date: ____________________________________________</w:t>
      </w:r>
    </w:p>
    <w:p>
      <w:pPr>
        <w:pStyle w:val="Normal"/>
        <w:rPr>
          <w:sz w:val="18"/>
        </w:rPr>
      </w:pPr>
      <w:r>
        <w:rPr>
          <w:sz w:val="18"/>
        </w:rPr>
      </w:r>
    </w:p>
    <w:p>
      <w:pPr>
        <w:pStyle w:val="Normal"/>
        <w:tabs>
          <w:tab w:val="clear" w:pos="720"/>
          <w:tab w:val="left" w:pos="180" w:leader="none"/>
        </w:tabs>
        <w:jc w:val="both"/>
        <w:rPr>
          <w:sz w:val="18"/>
        </w:rPr>
      </w:pPr>
      <w:r>
        <w:rPr>
          <w:sz w:val="18"/>
        </w:rPr>
        <w:t xml:space="preserve">Account:     </w:t>
      </w:r>
    </w:p>
    <w:p>
      <w:pPr>
        <w:pStyle w:val="Normal"/>
        <w:tabs>
          <w:tab w:val="clear" w:pos="720"/>
          <w:tab w:val="left" w:pos="180" w:leader="none"/>
        </w:tabs>
        <w:jc w:val="both"/>
        <w:rPr>
          <w:sz w:val="18"/>
          <w:lang w:val="en-CA" w:eastAsia="en-CA"/>
        </w:rPr>
      </w:pPr>
      <w:r>
        <w:rPr>
          <w:sz w:val="18"/>
          <w:lang w:val="en-CA" w:eastAsia="en-CA"/>
        </w:rPr>
        <mc:AlternateContent>
          <mc:Choice Requires="wps">
            <w:drawing>
              <wp:anchor behindDoc="0" distT="0" distB="0" distL="114935" distR="114935" simplePos="0" locked="0" layoutInCell="1" allowOverlap="1" relativeHeight="16">
                <wp:simplePos x="0" y="0"/>
                <wp:positionH relativeFrom="column">
                  <wp:posOffset>548640</wp:posOffset>
                </wp:positionH>
                <wp:positionV relativeFrom="paragraph">
                  <wp:posOffset>23495</wp:posOffset>
                </wp:positionV>
                <wp:extent cx="1920240" cy="0"/>
                <wp:effectExtent l="0" t="5080" r="0" b="5080"/>
                <wp:wrapNone/>
                <wp:docPr id="8" name=""/>
                <a:graphic xmlns:a="http://schemas.openxmlformats.org/drawingml/2006/main">
                  <a:graphicData uri="http://schemas.microsoft.com/office/word/2010/wordprocessingShape">
                    <wps:wsp>
                      <wps:cNvSpPr/>
                      <wps:spPr>
                        <a:xfrm>
                          <a:off x="0" y="0"/>
                          <a:ext cx="1920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2pt,1.85pt" to="194.35pt,1.85pt" stroked="t" o:allowincell="f" style="position:absolute">
                <v:stroke color="black" weight="9360" joinstyle="miter" endcap="flat"/>
                <v:fill o:detectmouseclick="t" on="false"/>
                <w10:wrap type="none"/>
              </v:line>
            </w:pict>
          </mc:Fallback>
        </mc:AlternateContent>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rPr>
      </w:pPr>
      <w:r>
        <w:rPr>
          <w:sz w:val="18"/>
        </w:rPr>
        <w:t>Social Security # or Tax ID:___ ____________________</w:t>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rPr>
      </w:pPr>
      <w:r>
        <w:rPr>
          <w:sz w:val="18"/>
        </w:rPr>
      </w:r>
    </w:p>
    <w:p>
      <w:pPr>
        <w:pStyle w:val="Normal"/>
        <w:tabs>
          <w:tab w:val="clear" w:pos="720"/>
          <w:tab w:val="left" w:pos="180" w:leader="none"/>
        </w:tabs>
        <w:ind w:end="-450"/>
        <w:jc w:val="both"/>
        <w:rPr>
          <w:sz w:val="18"/>
        </w:rPr>
      </w:pPr>
      <w:r>
        <w:rPr>
          <w:sz w:val="18"/>
        </w:rPr>
      </w:r>
    </w:p>
    <w:p>
      <w:pPr>
        <w:pStyle w:val="Normal"/>
        <w:tabs>
          <w:tab w:val="clear" w:pos="720"/>
          <w:tab w:val="left" w:pos="180" w:leader="none"/>
        </w:tabs>
        <w:jc w:val="both"/>
        <w:rPr>
          <w:sz w:val="18"/>
        </w:rPr>
      </w:pPr>
      <w:r>
        <w:rPr>
          <w:sz w:val="18"/>
        </w:rPr>
      </w:r>
    </w:p>
    <w:p>
      <w:pPr>
        <w:pStyle w:val="Normal"/>
        <w:tabs>
          <w:tab w:val="clear" w:pos="720"/>
          <w:tab w:val="left" w:pos="180" w:leader="none"/>
        </w:tabs>
        <w:jc w:val="both"/>
        <w:rPr>
          <w:sz w:val="18"/>
        </w:rPr>
      </w:pPr>
      <w:r>
        <w:rPr>
          <w:sz w:val="18"/>
        </w:rPr>
      </w:r>
    </w:p>
    <w:p>
      <w:pPr>
        <w:sectPr>
          <w:footerReference w:type="default" r:id="rId3"/>
          <w:type w:val="nextPage"/>
          <w:pgSz w:w="12240" w:h="15840"/>
          <w:pgMar w:left="1800" w:right="1800" w:gutter="0" w:header="0" w:top="1170" w:footer="720" w:bottom="1080"/>
          <w:pgNumType w:fmt="decimal"/>
          <w:cols w:num="2" w:space="720" w:equalWidth="true" w:sep="false"/>
          <w:formProt w:val="false"/>
          <w:textDirection w:val="lrTb"/>
          <w:docGrid w:type="default" w:linePitch="360" w:charSpace="0"/>
        </w:sectPr>
      </w:pPr>
    </w:p>
    <w:p>
      <w:pPr>
        <w:pStyle w:val="Normal"/>
        <w:rPr>
          <w:b/>
          <w:sz w:val="18"/>
        </w:rPr>
      </w:pPr>
      <w:r>
        <w:rPr>
          <w:b/>
          <w:sz w:val="18"/>
        </w:rPr>
      </w:r>
    </w:p>
    <w:p>
      <w:pPr>
        <w:pStyle w:val="Normal"/>
        <w:rPr>
          <w:b/>
          <w:sz w:val="18"/>
        </w:rPr>
      </w:pPr>
      <w:r>
        <w:rPr>
          <w:b/>
          <w:sz w:val="18"/>
        </w:rPr>
      </w:r>
      <w:r>
        <w:br w:type="page"/>
      </w:r>
    </w:p>
    <w:p>
      <w:pPr>
        <w:pStyle w:val="Normal"/>
        <w:rPr>
          <w:b/>
          <w:sz w:val="24"/>
        </w:rPr>
      </w:pPr>
      <w:r>
        <w:rPr>
          <w:b/>
          <w:sz w:val="24"/>
        </w:rPr>
        <w:t>SCHEDULE</w:t>
      </w:r>
    </w:p>
    <w:p>
      <w:pPr>
        <w:pStyle w:val="Normal"/>
        <w:rPr>
          <w:b/>
          <w:sz w:val="24"/>
        </w:rPr>
      </w:pPr>
      <w:r>
        <w:rPr>
          <w:b/>
          <w:sz w:val="24"/>
        </w:rPr>
        <w:t xml:space="preserve">PLEASE LIST MANAGED ACCOUNTS COVERED BY AGREEMENT FOR </w:t>
      </w:r>
    </w:p>
    <w:p>
      <w:pPr>
        <w:pStyle w:val="Heading7"/>
        <w:ind w:hanging="0" w:start="0"/>
        <w:rPr/>
      </w:pPr>
      <w:r>
        <w:rPr/>
        <w:t>PRIME BROKERAGE CLEARANCE SERVICES</w:t>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sz w:val="22"/>
        </w:rPr>
      </w:pPr>
      <w:r>
        <w:rPr>
          <w:sz w:val="22"/>
        </w:rPr>
        <w:t>INSTRUCTIONS TO EXECUTING SELF-CLEARING BROKER OR CLEARING AGENT</w:t>
      </w:r>
    </w:p>
    <w:p>
      <w:pPr>
        <w:pStyle w:val="Normal"/>
        <w:jc w:val="both"/>
        <w:rPr>
          <w:sz w:val="22"/>
        </w:rPr>
      </w:pPr>
      <w:r>
        <w:rPr>
          <w:sz w:val="22"/>
        </w:rPr>
      </w:r>
    </w:p>
    <w:p>
      <w:pPr>
        <w:pStyle w:val="Normal"/>
        <w:jc w:val="center"/>
        <w:rPr>
          <w:sz w:val="22"/>
        </w:rPr>
      </w:pPr>
      <w:r>
        <w:rPr>
          <w:sz w:val="22"/>
        </w:rPr>
        <w:t>OF EXECUTING BROKER REGARDING THE MAILING OF CONFIRMATIONS</w:t>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pPr>
      <w:r>
        <w:rPr/>
        <w:t>The undersigned customer has entered into an Agreement For Prime Brokerage Clearance Services (the "Agreement") with clearing Broker ("CB") which provides, among other things, that CB shall issue a confirmation for each transaction it executed or clears on behalf of the undersigned, unless the undersigned directs CB, in writing, to send confirmations to the undersigned in care of the undersigned's prime broker.</w:t>
      </w:r>
    </w:p>
    <w:p>
      <w:pPr>
        <w:pStyle w:val="Normal"/>
        <w:jc w:val="both"/>
        <w:rPr/>
      </w:pPr>
      <w:r>
        <w:rPr/>
      </w:r>
    </w:p>
    <w:p>
      <w:pPr>
        <w:pStyle w:val="Normal"/>
        <w:jc w:val="both"/>
        <w:rPr/>
      </w:pPr>
      <w:r>
        <w:rPr/>
        <w:t>The undersigned hereby requests that CB, as executing broker or as clearing agent for an executing broker, to send confirmations to the undersigned in care of the undersigned in care of the undersigned's prime broker.  This instrument shall not be deemed to be either incorporated in or made a part of the Agreement.</w:t>
      </w:r>
    </w:p>
    <w:p>
      <w:pPr>
        <w:pStyle w:val="Normal"/>
        <w:jc w:val="both"/>
        <w:rPr/>
      </w:pPr>
      <w:r>
        <w:rPr/>
      </w:r>
    </w:p>
    <w:p>
      <w:pPr>
        <w:pStyle w:val="Normal"/>
        <w:jc w:val="both"/>
        <w:rPr/>
      </w:pPr>
      <w:r>
        <w:rPr/>
        <w:t>The undersigned acknowledges that if its account is managed on a discretionary basis by an investment advisor or money manager, each confirmation may cover a single bulk trade representing transactions that have been commingled with those of other accounts of the undersigned's advisor.</w:t>
      </w:r>
    </w:p>
    <w:p>
      <w:pPr>
        <w:pStyle w:val="Normal"/>
        <w:jc w:val="both"/>
        <w:rPr/>
      </w:pPr>
      <w:r>
        <w:rPr/>
      </w:r>
    </w:p>
    <w:p>
      <w:pPr>
        <w:pStyle w:val="Normal"/>
        <w:jc w:val="both"/>
        <w:rPr/>
      </w:pPr>
      <w:r>
        <w:rPr/>
        <w:t>By accepting these instructions, CB hereby acknowledges that this instrument is not a condition for entering into the Agreement or the prime brokerage arrangement.  CB further agrees that it shall not charge differential fees based on whether an instruction such as this is provided nor shall CB otherwise create incentives for the undersigned to execute this instrument.</w:t>
      </w:r>
    </w:p>
    <w:p>
      <w:pPr>
        <w:pStyle w:val="Normal"/>
        <w:jc w:val="both"/>
        <w:rPr/>
      </w:pPr>
      <w:r>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sectPr>
          <w:type w:val="continuous"/>
          <w:pgSz w:w="12240" w:h="15840"/>
          <w:pgMar w:left="1800" w:right="1800" w:gutter="0" w:header="0" w:top="1170" w:footer="720" w:bottom="1080"/>
          <w:formProt w:val="false"/>
          <w:textDirection w:val="lrTb"/>
          <w:docGrid w:type="default" w:linePitch="360" w:charSpace="0"/>
        </w:sectPr>
      </w:pPr>
    </w:p>
    <w:p>
      <w:pPr>
        <w:pStyle w:val="Normal"/>
        <w:jc w:val="both"/>
        <w:rPr>
          <w:sz w:val="16"/>
        </w:rPr>
      </w:pPr>
      <w:r>
        <w:rPr>
          <w:sz w:val="16"/>
        </w:rPr>
        <w:t>_________________________________________________</w:t>
      </w:r>
    </w:p>
    <w:p>
      <w:pPr>
        <w:pStyle w:val="Normal"/>
        <w:jc w:val="both"/>
        <w:rPr>
          <w:sz w:val="16"/>
        </w:rPr>
      </w:pPr>
      <w:r>
        <w:rPr>
          <w:sz w:val="16"/>
        </w:rPr>
        <w:t>(Typed or Printed Name)</w:t>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t>_________________________________________________</w:t>
      </w:r>
    </w:p>
    <w:p>
      <w:pPr>
        <w:pStyle w:val="Normal"/>
        <w:jc w:val="both"/>
        <w:rPr>
          <w:sz w:val="16"/>
        </w:rPr>
      </w:pPr>
      <w:r>
        <w:rPr>
          <w:sz w:val="16"/>
        </w:rPr>
        <w:t>(Signature)</w:t>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t>_________________________________________________</w:t>
      </w:r>
    </w:p>
    <w:p>
      <w:pPr>
        <w:pStyle w:val="Normal"/>
        <w:jc w:val="both"/>
        <w:rPr>
          <w:sz w:val="16"/>
        </w:rPr>
      </w:pPr>
      <w:r>
        <w:rPr>
          <w:sz w:val="16"/>
        </w:rPr>
        <w:t>(Typed or Printed Name)</w:t>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t>_________________________________________________</w:t>
      </w:r>
    </w:p>
    <w:p>
      <w:pPr>
        <w:pStyle w:val="Normal"/>
        <w:jc w:val="both"/>
        <w:rPr>
          <w:sz w:val="16"/>
        </w:rPr>
      </w:pPr>
      <w:r>
        <w:rPr>
          <w:sz w:val="16"/>
        </w:rPr>
        <w:t>(Signature</w:t>
      </w:r>
    </w:p>
    <w:p>
      <w:pPr>
        <w:pStyle w:val="Normal"/>
        <w:jc w:val="both"/>
        <w:rPr>
          <w:sz w:val="16"/>
        </w:rPr>
      </w:pPr>
      <w:r>
        <w:rPr>
          <w:sz w:val="16"/>
        </w:rPr>
      </w:r>
    </w:p>
    <w:p>
      <w:pPr>
        <w:pStyle w:val="Normal"/>
        <w:jc w:val="both"/>
        <w:rPr>
          <w:sz w:val="16"/>
        </w:rPr>
      </w:pPr>
      <w:r>
        <w:rPr>
          <w:sz w:val="16"/>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sz w:val="16"/>
        </w:rPr>
      </w:pPr>
      <w:r>
        <mc:AlternateContent>
          <mc:Choice Requires="wps">
            <w:drawing>
              <wp:anchor behindDoc="0" distT="0" distB="0" distL="114935" distR="114935" simplePos="0" locked="0" layoutInCell="1" allowOverlap="1" relativeHeight="11">
                <wp:simplePos x="0" y="0"/>
                <wp:positionH relativeFrom="column">
                  <wp:posOffset>0</wp:posOffset>
                </wp:positionH>
                <wp:positionV relativeFrom="paragraph">
                  <wp:posOffset>42545</wp:posOffset>
                </wp:positionV>
                <wp:extent cx="2560320" cy="0"/>
                <wp:effectExtent l="0" t="5080" r="0" b="5080"/>
                <wp:wrapNone/>
                <wp:docPr id="10" name=""/>
                <a:graphic xmlns:a="http://schemas.openxmlformats.org/drawingml/2006/main">
                  <a:graphicData uri="http://schemas.microsoft.com/office/word/2010/wordprocessingShape">
                    <wps:wsp>
                      <wps:cNvSpPr/>
                      <wps:spPr>
                        <a:xfrm>
                          <a:off x="0" y="0"/>
                          <a:ext cx="2560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3.35pt" to="201.55pt,3.35pt" stroked="t" o:allowincell="f" style="position:absolute">
                <v:stroke color="black" weight="9360" joinstyle="miter" endcap="flat"/>
                <v:fill o:detectmouseclick="t" on="false"/>
                <w10:wrap type="none"/>
              </v:line>
            </w:pict>
          </mc:Fallback>
        </mc:AlternateContent>
      </w:r>
      <w:r>
        <w:rPr>
          <w:sz w:val="16"/>
        </w:rPr>
        <w:t xml:space="preserve"> </w:t>
      </w:r>
    </w:p>
    <w:p>
      <w:pPr>
        <w:pStyle w:val="Normal"/>
        <w:jc w:val="both"/>
        <w:rPr>
          <w:sz w:val="16"/>
        </w:rPr>
      </w:pPr>
      <w:r>
        <w:rPr>
          <w:sz w:val="16"/>
        </w:rPr>
        <w:t>(Account No.)</w:t>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pPr>
      <w:r>
        <w:rPr>
          <w:sz w:val="16"/>
        </w:rPr>
        <w:t>_______________________________________________ (Social Security # or Tax ID</w:t>
      </w:r>
      <w:r>
        <w:rPr>
          <w:sz w:val="16"/>
          <w:lang w:val="en-CA" w:eastAsia="en-CA"/>
        </w:rPr>
        <w:t>)</w:t>
      </w:r>
    </w:p>
    <w:p>
      <w:pPr>
        <w:pStyle w:val="Normal"/>
        <w:jc w:val="both"/>
        <w:rPr>
          <w:sz w:val="16"/>
          <w:lang w:val="en-CA" w:eastAsia="en-CA"/>
        </w:rPr>
      </w:pPr>
      <w:r>
        <w:rPr>
          <w:sz w:val="16"/>
          <w:lang w:val="en-CA" w:eastAsia="en-CA"/>
        </w:rPr>
      </w:r>
    </w:p>
    <w:p>
      <w:pPr>
        <w:pStyle w:val="Normal"/>
        <w:jc w:val="both"/>
        <w:rPr>
          <w:sz w:val="16"/>
          <w:lang w:val="en-CA" w:eastAsia="en-CA"/>
        </w:rPr>
      </w:pPr>
      <w:r>
        <w:rPr>
          <w:sz w:val="16"/>
          <w:lang w:val="en-CA" w:eastAsia="en-CA"/>
        </w:rPr>
      </w:r>
    </w:p>
    <w:p>
      <w:pPr>
        <w:pStyle w:val="Normal"/>
        <w:rPr>
          <w:sz w:val="16"/>
          <w:lang w:val="en-CA" w:eastAsia="en-CA"/>
        </w:rPr>
      </w:pPr>
      <w:r>
        <w:rPr>
          <w:sz w:val="16"/>
          <w:lang w:val="en-CA" w:eastAsia="en-CA"/>
        </w:rPr>
      </w:r>
    </w:p>
    <w:sectPr>
      <w:type w:val="continuous"/>
      <w:pgSz w:w="12240" w:h="15840"/>
      <w:pgMar w:left="1800" w:right="1800" w:gutter="0" w:header="0" w:top="1170" w:footer="720" w:bottom="1080"/>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0" w:end="360"/>
      <w:jc w:val="both"/>
      <w:rPr/>
    </w:pPr>
    <w:r>
      <w:rPr>
        <w:caps w:val="false"/>
        <w:smallCaps w:val="false"/>
        <w:spacing w:val="0"/>
        <w:sz w:val="16"/>
      </w:rPr>
      <w:t>SIA FORM 151 (AUGUST, 1994)</w:t>
      <w:tab/>
    </w:r>
    <w:r>
      <w:rPr>
        <w:sz w:val="16"/>
      </w:rPr>
      <w:t xml:space="preserve">            </w:t>
    </w:r>
    <w:r>
      <w:rPr>
        <w:caps w:val="false"/>
        <w:smallCaps w:val="false"/>
        <w:spacing w:val="0"/>
        <w:sz w:val="16"/>
      </w:rPr>
      <w:t>COPYRIGHT© 1994 SECURITIES INDUSTRY ASSOCIATION</w:t>
    </w:r>
    <w:r>
      <w:rPr>
        <w:sz w:val="16"/>
      </w:rPr>
      <w:tab/>
      <w:tab/>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521335" cy="191770"/>
              <wp:effectExtent l="0" t="0" r="0" b="0"/>
              <wp:wrapSquare wrapText="bothSides"/>
              <wp:docPr id="1" name="Frame1"/>
              <a:graphic xmlns:a="http://schemas.openxmlformats.org/drawingml/2006/main">
                <a:graphicData uri="http://schemas.microsoft.com/office/word/2010/wordprocessingShape">
                  <wps:wsp>
                    <wps:cNvSpPr txBox="1"/>
                    <wps:spPr>
                      <a:xfrm>
                        <a:off x="0" y="0"/>
                        <a:ext cx="521335" cy="1917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1.05pt;height:15.1pt;mso-wrap-distance-left:0pt;mso-wrap-distance-right:0pt;mso-wrap-distance-top:0pt;mso-wrap-distance-bottom:0pt;margin-top:0.05pt;mso-position-vertical-relative:text;margin-left:390.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0" w:end="360"/>
      <w:jc w:val="both"/>
      <w:rPr/>
    </w:pPr>
    <w:r>
      <w:rPr>
        <w:caps w:val="false"/>
        <w:smallCaps w:val="false"/>
        <w:spacing w:val="0"/>
        <w:sz w:val="16"/>
      </w:rPr>
      <w:t>SIA FORM 151 (AUGUST, 1994)</w:t>
      <w:tab/>
    </w:r>
    <w:r>
      <w:rPr>
        <w:sz w:val="16"/>
      </w:rPr>
      <w:t xml:space="preserve">            </w:t>
    </w:r>
    <w:r>
      <w:rPr>
        <w:caps w:val="false"/>
        <w:smallCaps w:val="false"/>
        <w:spacing w:val="0"/>
        <w:sz w:val="16"/>
      </w:rPr>
      <w:t>COPYRIGHT© 1994 SECURITIES INDUSTRY ASSOCIATION</w:t>
    </w:r>
    <w:r>
      <w:rPr>
        <w:sz w:val="16"/>
      </w:rPr>
      <w:tab/>
      <w:tab/>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521335" cy="191770"/>
              <wp:effectExtent l="0" t="0" r="0" b="0"/>
              <wp:wrapSquare wrapText="bothSides"/>
              <wp:docPr id="9" name="Frame1"/>
              <a:graphic xmlns:a="http://schemas.openxmlformats.org/drawingml/2006/main">
                <a:graphicData uri="http://schemas.microsoft.com/office/word/2010/wordprocessingShape">
                  <wps:wsp>
                    <wps:cNvSpPr txBox="1"/>
                    <wps:spPr>
                      <a:xfrm>
                        <a:off x="0" y="0"/>
                        <a:ext cx="521335" cy="1917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1.05pt;height:15.1pt;mso-wrap-distance-left:0pt;mso-wrap-distance-right:0pt;mso-wrap-distance-top:0pt;mso-wrap-distance-bottom:0pt;margin-top:0.05pt;mso-position-vertical-relative:text;margin-left:390.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84"/>
        </w:tabs>
        <w:ind w:start="384" w:hanging="384"/>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lowerLetter"/>
      <w:lvlText w:val="(%1)"/>
      <w:lvlJc w:val="start"/>
      <w:pPr>
        <w:tabs>
          <w:tab w:val="num" w:pos="360"/>
        </w:tabs>
        <w:ind w:start="360" w:hanging="360"/>
      </w:pPr>
      <w:rPr/>
    </w:lvl>
  </w:abstractNum>
  <w:abstractNum w:abstractNumId="7">
    <w:lvl w:ilvl="0">
      <w:start w:val="1"/>
      <w:numFmt w:val="lowerLetter"/>
      <w:lvlText w:val="(%1)"/>
      <w:lvlJc w:val="start"/>
      <w:pPr>
        <w:tabs>
          <w:tab w:val="num" w:pos="360"/>
        </w:tabs>
        <w:ind w:start="360" w:hanging="360"/>
      </w:pPr>
      <w:rPr/>
    </w:lvl>
  </w:abstractNum>
  <w:abstractNum w:abstractNumId="8">
    <w:lvl w:ilvl="0">
      <w:start w:val="1"/>
      <w:numFmt w:val="lowerRoman"/>
      <w:lvlText w:val="(%1)"/>
      <w:lvlJc w:val="start"/>
      <w:pPr>
        <w:tabs>
          <w:tab w:val="num" w:pos="720"/>
        </w:tabs>
        <w:ind w:start="720" w:hanging="720"/>
      </w:pPr>
      <w:rPr/>
    </w:lvl>
  </w:abstractNum>
  <w:abstractNum w:abstractNumId="9">
    <w:lvl w:ilvl="0">
      <w:start w:val="1"/>
      <w:numFmt w:val="decimal"/>
      <w:lvlText w:val="%1."/>
      <w:lvlJc w:val="start"/>
      <w:pPr>
        <w:tabs>
          <w:tab w:val="num" w:pos="360"/>
        </w:tabs>
        <w:ind w:start="360" w:hanging="360"/>
      </w:pPr>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8"/>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tabs>
        <w:tab w:val="clear" w:pos="720"/>
        <w:tab w:val="left" w:pos="180" w:leader="none"/>
      </w:tabs>
      <w:jc w:val="both"/>
      <w:outlineLvl w:val="1"/>
    </w:pPr>
    <w:rPr>
      <w:sz w:val="16"/>
      <w:u w:val="single"/>
    </w:rPr>
  </w:style>
  <w:style w:type="paragraph" w:styleId="Heading3">
    <w:name w:val="heading 3"/>
    <w:basedOn w:val="Normal"/>
    <w:next w:val="BodyText"/>
    <w:qFormat/>
    <w:pPr>
      <w:keepNext w:val="true"/>
      <w:keepLines/>
      <w:numPr>
        <w:ilvl w:val="2"/>
        <w:numId w:val="1"/>
      </w:numPr>
      <w:spacing w:lineRule="exact" w:line="280" w:before="240" w:after="120"/>
      <w:outlineLvl w:val="2"/>
    </w:pPr>
    <w:rPr>
      <w:rFonts w:ascii="Arial" w:hAnsi="Arial" w:cs="Arial"/>
      <w:b/>
      <w:i/>
      <w:kern w:val="2"/>
      <w:sz w:val="28"/>
    </w:rPr>
  </w:style>
  <w:style w:type="paragraph" w:styleId="Heading6">
    <w:name w:val="heading 6"/>
    <w:basedOn w:val="Normal"/>
    <w:next w:val="Normal"/>
    <w:qFormat/>
    <w:pPr>
      <w:keepNext w:val="true"/>
      <w:numPr>
        <w:ilvl w:val="5"/>
        <w:numId w:val="1"/>
      </w:numPr>
      <w:jc w:val="center"/>
      <w:outlineLvl w:val="5"/>
    </w:pPr>
    <w:rPr>
      <w:b/>
      <w:sz w:val="40"/>
    </w:rPr>
  </w:style>
  <w:style w:type="paragraph" w:styleId="Heading7">
    <w:name w:val="heading 7"/>
    <w:basedOn w:val="Normal"/>
    <w:next w:val="Normal"/>
    <w:qFormat/>
    <w:pPr>
      <w:keepNext w:val="true"/>
      <w:numPr>
        <w:ilvl w:val="6"/>
        <w:numId w:val="1"/>
      </w:numPr>
      <w:jc w:val="center"/>
      <w:outlineLvl w:val="6"/>
    </w:pPr>
    <w:rPr>
      <w:b/>
      <w:sz w:val="24"/>
    </w:rPr>
  </w:style>
  <w:style w:type="paragraph" w:styleId="Heading8">
    <w:name w:val="heading 8"/>
    <w:basedOn w:val="Normal"/>
    <w:next w:val="Normal"/>
    <w:qFormat/>
    <w:pPr>
      <w:keepNext w:val="true"/>
      <w:numPr>
        <w:ilvl w:val="7"/>
        <w:numId w:val="1"/>
      </w:numPr>
      <w:jc w:val="center"/>
      <w:outlineLvl w:val="7"/>
    </w:pPr>
    <w:rPr>
      <w:b/>
      <w:sz w:val="3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DefaultParagraphFont">
    <w:name w:val="Default Paragraph Font"/>
    <w:qFormat/>
    <w:rPr/>
  </w:style>
  <w:style w:type="character" w:styleId="MessageHeaderLabel">
    <w:name w:val="Message Header Label"/>
    <w:qFormat/>
    <w:rPr>
      <w:b/>
      <w:caps/>
      <w:sz w:val="2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ind w:hanging="0" w:start="720" w:end="0"/>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ssageHeader">
    <w:name w:val="Message Header"/>
    <w:basedOn w:val="BodyText"/>
    <w:qFormat/>
    <w:pPr>
      <w:keepLines/>
      <w:tabs>
        <w:tab w:val="clear" w:pos="720"/>
        <w:tab w:val="left" w:pos="3600" w:leader="none"/>
        <w:tab w:val="left" w:pos="4680" w:leader="none"/>
      </w:tabs>
      <w:ind w:hanging="1080" w:start="1080" w:end="0"/>
    </w:pPr>
    <w:rPr/>
  </w:style>
  <w:style w:type="paragraph" w:styleId="DocumentLabel">
    <w:name w:val="Document Label"/>
    <w:basedOn w:val="Normal"/>
    <w:next w:val="BodyText"/>
    <w:qFormat/>
    <w:pPr>
      <w:keepNext w:val="true"/>
      <w:keepLines/>
      <w:spacing w:before="360" w:after="480"/>
    </w:pPr>
    <w:rPr>
      <w:rFonts w:ascii="Arial" w:hAnsi="Arial" w:cs="Arial"/>
      <w:caps/>
      <w:spacing w:val="180"/>
      <w:kern w:val="2"/>
      <w:sz w:val="3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keepLines/>
      <w:pBdr>
        <w:top w:val="single" w:sz="6" w:space="4" w:color="000000"/>
      </w:pBdr>
      <w:tabs>
        <w:tab w:val="clear" w:pos="720"/>
        <w:tab w:val="center" w:pos="4680" w:leader="none"/>
        <w:tab w:val="right" w:pos="8640" w:leader="none"/>
      </w:tabs>
      <w:ind w:hanging="0" w:start="720" w:end="0"/>
    </w:pPr>
    <w:rPr>
      <w:rFonts w:ascii="Arial" w:hAnsi="Arial" w:cs="Arial"/>
      <w:b/>
      <w:caps/>
      <w:spacing w:val="20"/>
      <w:sz w:val="18"/>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9540" w:leader="none"/>
      </w:tabs>
      <w:jc w:val="center"/>
    </w:pPr>
    <w:rPr>
      <w:b/>
      <w:sz w:val="24"/>
    </w:rPr>
  </w:style>
  <w:style w:type="paragraph" w:styleId="BodyTextIndent">
    <w:name w:val="Body Text Indent"/>
    <w:basedOn w:val="Normal"/>
    <w:pPr>
      <w:ind w:hanging="0" w:start="360" w:end="0"/>
      <w:jc w:val="both"/>
    </w:pPr>
    <w:rPr>
      <w:sz w:val="16"/>
      <w:lang w:val="en-CA" w:eastAsia="en-CA"/>
    </w:rPr>
  </w:style>
  <w:style w:type="paragraph" w:styleId="BodyTextIndent2">
    <w:name w:val="Body Text Indent 2"/>
    <w:basedOn w:val="Normal"/>
    <w:qFormat/>
    <w:pPr>
      <w:ind w:hanging="630" w:start="0" w:end="0"/>
      <w:jc w:val="both"/>
    </w:pPr>
    <w:rPr>
      <w:sz w:val="16"/>
    </w:rPr>
  </w:style>
  <w:style w:type="paragraph" w:styleId="BodyText3">
    <w:name w:val="Body Text 3"/>
    <w:basedOn w:val="Normal"/>
    <w:qFormat/>
    <w:pPr>
      <w:jc w:val="both"/>
    </w:pPr>
    <w:rPr>
      <w:color w:val="FF0000"/>
      <w:sz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2001-06-03T21:29:00Z</dcterms:created>
  <dc:creator>RSCO</dc:creator>
  <dc:description/>
  <dc:language>en-CA</dc:language>
  <cp:lastModifiedBy>cnelson4</cp:lastModifiedBy>
  <cp:lastPrinted>2001-06-19T14:32:00Z</cp:lastPrinted>
  <dcterms:modified xsi:type="dcterms:W3CDTF">2001-06-19T17:29:00Z</dcterms:modified>
  <cp:revision>3</cp:revision>
  <dc:subject/>
  <dc:title>AGREEMENT FOR PRIME BROKERAGE CLEARANCE SERVICES</dc:title>
</cp:coreProperties>
</file>