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 xml:space="preserve">On-peak year 2001  - </w:t>
      </w:r>
      <w:r>
        <w:rPr/>
        <w:t>the ATC values are listed in the two excel documents.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>
          <w:b/>
          <w:bCs/>
        </w:rPr>
        <w:t>I.    ATC (MW) values</w:t>
      </w:r>
      <w:r>
        <w:rPr/>
        <w:t xml:space="preserve"> – rate B for contingencies – with off line-units included.</w:t>
      </w:r>
    </w:p>
    <w:p>
      <w:pPr>
        <w:pStyle w:val="Normal"/>
        <w:rPr/>
      </w:pPr>
      <w:r>
        <w:rPr/>
        <w:object w:dxaOrig="7200" w:dyaOrig="43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307.4pt;height:172.55pt" filled="f" o:ole="">
            <v:imagedata r:id="rId3" o:title=""/>
          </v:shape>
          <o:OLEObject Type="Embed" ProgID="" ShapeID="ole_rId2" DrawAspect="Content" ObjectID="_1931338013" r:id="rId2"/>
        </w:object>
      </w:r>
    </w:p>
    <w:p>
      <w:pPr>
        <w:pStyle w:val="Normal"/>
        <w:rPr>
          <w:sz w:val="20"/>
        </w:rPr>
      </w:pPr>
      <w:r>
        <w:rPr>
          <w:sz w:val="20"/>
        </w:rPr>
        <w:t>(*) if the two most limiting elements were upgraded, the atc for that transfer would become 1035MW.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bCs/>
        </w:rPr>
        <w:t>II.   Base case transfer values (MW)</w:t>
      </w:r>
      <w:r>
        <w:rPr/>
        <w:t>.</w:t>
      </w:r>
    </w:p>
    <w:p>
      <w:pPr>
        <w:pStyle w:val="Normal"/>
        <w:rPr/>
      </w:pPr>
      <w:r>
        <w:rPr/>
        <w:object w:dxaOrig="7200" w:dyaOrig="432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303.1pt;height:175.6pt" filled="f" o:ole="">
            <v:imagedata r:id="rId5" o:title=""/>
          </v:shape>
          <o:OLEObject Type="Embed" ProgID="" ShapeID="ole_rId4" DrawAspect="Content" ObjectID="_450510595" r:id="rId4"/>
        </w:object>
      </w:r>
    </w:p>
    <w:p>
      <w:pPr>
        <w:pStyle w:val="Normal"/>
        <w:rPr>
          <w:i/>
          <w:i/>
          <w:iCs/>
          <w:color w:val="0000FF"/>
        </w:rPr>
      </w:pPr>
      <w:r>
        <w:rPr>
          <w:i/>
          <w:iCs/>
          <w:color w:val="0000FF"/>
        </w:rPr>
      </w:r>
    </w:p>
    <w:p>
      <w:pPr>
        <w:pStyle w:val="Normal"/>
        <w:rPr/>
      </w:pPr>
      <w:r>
        <w:rPr>
          <w:b/>
          <w:bCs/>
        </w:rPr>
        <w:t xml:space="preserve">III. </w:t>
      </w:r>
      <w:r>
        <w:rPr>
          <w:b/>
          <w:bCs/>
          <w:color w:val="800000"/>
        </w:rPr>
        <w:t xml:space="preserve"> TTC</w:t>
      </w:r>
      <w:r>
        <w:rPr>
          <w:b/>
          <w:bCs/>
        </w:rPr>
        <w:t xml:space="preserve"> values (MW) = ATC + </w:t>
      </w:r>
      <w:r>
        <w:rPr>
          <w:b/>
          <w:bCs/>
          <w:color w:val="0000FF"/>
        </w:rPr>
        <w:t>base case transfers</w:t>
      </w:r>
      <w:r>
        <w:rPr>
          <w:b/>
          <w:bCs/>
        </w:rPr>
        <w:t>,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object w:dxaOrig="7200" w:dyaOrig="432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301.65pt;height:169.55pt" filled="f" o:ole="">
            <v:imagedata r:id="rId7" o:title=""/>
          </v:shape>
          <o:OLEObject Type="Embed" ProgID="" ShapeID="ole_rId6" DrawAspect="Content" ObjectID="_602649360" r:id="rId6"/>
        </w:object>
      </w:r>
    </w:p>
    <w:p>
      <w:pPr>
        <w:pStyle w:val="Heading1"/>
        <w:ind w:hanging="0" w:start="0"/>
        <w:rPr>
          <w:sz w:val="20"/>
        </w:rPr>
      </w:pPr>
      <w:r>
        <w:rPr>
          <w:b w:val="false"/>
          <w:bCs w:val="false"/>
          <w:sz w:val="20"/>
        </w:rPr>
        <w:t xml:space="preserve">(*) if the two most limiting elements were upgraded, the ttc for that transfer would become </w:t>
      </w:r>
      <w:r>
        <w:rPr>
          <w:b w:val="false"/>
          <w:bCs w:val="false"/>
          <w:color w:val="800000"/>
          <w:sz w:val="20"/>
        </w:rPr>
        <w:t>4376</w:t>
      </w:r>
      <w:r>
        <w:rPr>
          <w:b w:val="false"/>
          <w:bCs w:val="false"/>
          <w:sz w:val="20"/>
        </w:rPr>
        <w:t>MW.</w:t>
      </w:r>
      <w:r>
        <w:br w:type="page"/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On-peak year 2001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>
          <w:b/>
          <w:bCs/>
        </w:rPr>
        <w:t>I.    ATC (MW) values</w:t>
      </w:r>
      <w:r>
        <w:rPr/>
        <w:t xml:space="preserve"> – rate B for contingencies – </w:t>
      </w:r>
      <w:r>
        <w:rPr>
          <w:u w:val="single"/>
        </w:rPr>
        <w:t>without</w:t>
      </w:r>
      <w:r>
        <w:rPr/>
        <w:t xml:space="preserve"> off line-units.</w:t>
      </w:r>
    </w:p>
    <w:p>
      <w:pPr>
        <w:pStyle w:val="Normal"/>
        <w:rPr/>
      </w:pPr>
      <w:r>
        <w:rPr/>
        <w:object w:dxaOrig="7200" w:dyaOrig="432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288pt;height:160.45pt" filled="f" o:ole="">
            <v:imagedata r:id="rId9" o:title=""/>
          </v:shape>
          <o:OLEObject Type="Embed" ProgID="" ShapeID="ole_rId8" DrawAspect="Content" ObjectID="_986054075" r:id="rId8"/>
        </w:object>
      </w:r>
    </w:p>
    <w:p>
      <w:pPr>
        <w:pStyle w:val="Normal"/>
        <w:rPr>
          <w:sz w:val="20"/>
        </w:rPr>
      </w:pPr>
      <w:r>
        <w:rPr>
          <w:sz w:val="20"/>
        </w:rPr>
        <w:t>(*) if the first most limiting element were upgraded, the atc for that transfer would become 850MW.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bCs/>
        </w:rPr>
        <w:t xml:space="preserve">II.  </w:t>
      </w:r>
      <w:r>
        <w:rPr/>
        <w:t xml:space="preserve"> </w:t>
      </w:r>
      <w:r>
        <w:rPr>
          <w:b/>
          <w:bCs/>
        </w:rPr>
        <w:t>Base case transfer values (MW)</w:t>
      </w:r>
      <w:r>
        <w:rPr/>
        <w:t>.</w:t>
      </w:r>
    </w:p>
    <w:p>
      <w:pPr>
        <w:pStyle w:val="Normal"/>
        <w:rPr/>
      </w:pPr>
      <w:r>
        <w:rPr/>
        <w:object w:dxaOrig="7200" w:dyaOrig="432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288pt;height:156.8pt" filled="f" o:ole="">
            <v:imagedata r:id="rId11" o:title=""/>
          </v:shape>
          <o:OLEObject Type="Embed" ProgID="" ShapeID="ole_rId10" DrawAspect="Content" ObjectID="_878920067" r:id="rId10"/>
        </w:object>
      </w:r>
    </w:p>
    <w:p>
      <w:pPr>
        <w:pStyle w:val="Normal"/>
        <w:rPr>
          <w:i/>
          <w:i/>
          <w:iCs/>
          <w:color w:val="0000FF"/>
        </w:rPr>
      </w:pPr>
      <w:r>
        <w:rPr>
          <w:i/>
          <w:iCs/>
          <w:color w:val="0000FF"/>
        </w:rPr>
      </w:r>
    </w:p>
    <w:p>
      <w:pPr>
        <w:pStyle w:val="Normal"/>
        <w:rPr/>
      </w:pPr>
      <w:r>
        <w:rPr>
          <w:b/>
          <w:bCs/>
        </w:rPr>
        <w:t xml:space="preserve">III. </w:t>
      </w:r>
      <w:r>
        <w:rPr>
          <w:b/>
          <w:bCs/>
          <w:color w:val="800000"/>
        </w:rPr>
        <w:t xml:space="preserve"> TTC</w:t>
      </w:r>
      <w:r>
        <w:rPr>
          <w:b/>
          <w:bCs/>
        </w:rPr>
        <w:t xml:space="preserve"> values (MW) = ATC + </w:t>
      </w:r>
      <w:r>
        <w:rPr>
          <w:b/>
          <w:bCs/>
          <w:color w:val="0000FF"/>
        </w:rPr>
        <w:t>base case transfers</w:t>
      </w:r>
      <w:r>
        <w:rPr>
          <w:b/>
          <w:bCs/>
        </w:rPr>
        <w:t>,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 w:val="20"/>
          <w:lang w:val="en-CA" w:eastAsia="en-CA"/>
        </w:rPr>
      </w:pPr>
      <w:r>
        <w:rPr/>
        <w:t xml:space="preserve"> </w:t>
      </w:r>
      <w:r>
        <w:rPr/>
        <w:object w:dxaOrig="7200" w:dyaOrig="432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280.4pt;height:160.45pt" filled="f" o:ole="">
            <v:imagedata r:id="rId13" o:title=""/>
          </v:shape>
          <o:OLEObject Type="Embed" ProgID="" ShapeID="ole_rId12" DrawAspect="Content" ObjectID="_712258725" r:id="rId12"/>
        </w:object>
      </w:r>
    </w:p>
    <w:p>
      <w:pPr>
        <w:pStyle w:val="Normal"/>
        <w:rPr/>
      </w:pPr>
      <w:r>
        <w:rPr>
          <w:sz w:val="20"/>
        </w:rPr>
        <w:t xml:space="preserve">(*) if the first most limiting element were upgraded, the ttc for that transfer would become </w:t>
      </w:r>
      <w:r>
        <w:rPr>
          <w:color w:val="800000"/>
          <w:sz w:val="20"/>
        </w:rPr>
        <w:t>4191</w:t>
      </w:r>
      <w:r>
        <w:rPr>
          <w:sz w:val="20"/>
        </w:rPr>
        <w:t>MW.</w:t>
      </w:r>
    </w:p>
    <w:sectPr>
      <w:type w:val="nextPage"/>
      <w:pgSz w:w="12240" w:h="15840"/>
      <w:pgMar w:left="1800" w:right="1800" w:gutter="0" w:header="0" w:top="36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3.wmf"/><Relationship Id="rId8" Type="http://schemas.openxmlformats.org/officeDocument/2006/relationships/oleObject" Target="embeddings/oleObject4.bin"/><Relationship Id="rId9" Type="http://schemas.openxmlformats.org/officeDocument/2006/relationships/image" Target="media/image4.wmf"/><Relationship Id="rId10" Type="http://schemas.openxmlformats.org/officeDocument/2006/relationships/oleObject" Target="embeddings/oleObject5.bin"/><Relationship Id="rId11" Type="http://schemas.openxmlformats.org/officeDocument/2006/relationships/image" Target="media/image5.wmf"/><Relationship Id="rId12" Type="http://schemas.openxmlformats.org/officeDocument/2006/relationships/oleObject" Target="embeddings/oleObject6.bin"/><Relationship Id="rId13" Type="http://schemas.openxmlformats.org/officeDocument/2006/relationships/image" Target="media/image6.wmf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2001-04-25T20:08:00Z</dcterms:created>
  <dc:creator>Henrick Roycourt</dc:creator>
  <dc:description/>
  <dc:language>en-CA</dc:language>
  <cp:lastModifiedBy>Henrick Roycourt</cp:lastModifiedBy>
  <dcterms:modified xsi:type="dcterms:W3CDTF">2001-04-26T13:45:00Z</dcterms:modified>
  <cp:revision>29</cp:revision>
  <dc:subject/>
  <dc:title>On-peak year 2001</dc:title>
</cp:coreProperties>
</file>