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b w:val="false"/>
        </w:rPr>
      </w:pPr>
      <w:r>
        <w:rPr/>
        <w:t>AMENDMENT TO</w:t>
      </w:r>
    </w:p>
    <w:p>
      <w:pPr>
        <w:pStyle w:val="Normal"/>
        <w:widowControl/>
        <w:jc w:val="center"/>
        <w:rPr>
          <w:b/>
        </w:rPr>
      </w:pPr>
      <w:r>
        <w:rPr>
          <w:b/>
        </w:rPr>
        <w:t>COMPRESSION SERVICES AGREEMENT (BLOOMFIELD)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(including all equivalent HP-hours during which there is an interruption of Shaft Energy delivery by ECT in accordance with Section 2.4 of this Agreement or a Force Majeure event hereunder)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630" w:start="63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4"/>
        </w:numPr>
        <w:tabs>
          <w:tab w:val="clear" w:pos="720"/>
          <w:tab w:val="left" w:pos="630" w:leader="none"/>
        </w:tabs>
        <w:ind w:hanging="630" w:start="630" w:end="0"/>
        <w:rPr/>
      </w:pPr>
      <w:r>
        <w:rPr/>
        <w:t>This Amendment supersedes the amendment concerning the subject matter hereof dated June 18, 1999 and replaces in its entirety.</w:t>
      </w:r>
    </w:p>
    <w:p>
      <w:pPr>
        <w:pStyle w:val="BodyTextIndent"/>
        <w:widowControl/>
        <w:ind w:hanging="720" w:end="0"/>
        <w:rPr/>
      </w:pPr>
      <w:r>
        <w:rPr/>
      </w:r>
    </w:p>
    <w:p>
      <w:pPr>
        <w:pStyle w:val="BodyTextIndent"/>
        <w:widowControl/>
        <w:ind w:hanging="72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/mnt/main-storage/datasets/enron-docs/doc/CSA_Bloomfield_Amd__ECC_6.doc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1999-06-30T10:24:00Z</dcterms:created>
  <dc:creator>gnemec</dc:creator>
  <dc:description/>
  <dc:language>en-CA</dc:language>
  <cp:lastModifiedBy>gnemec</cp:lastModifiedBy>
  <cp:lastPrinted>1999-06-30T07:54:00Z</cp:lastPrinted>
  <dcterms:modified xsi:type="dcterms:W3CDTF">1999-06-30T10:25:00Z</dcterms:modified>
  <cp:revision>3</cp:revision>
  <dc:subject/>
  <dc:title>AMENDMENT</dc:title>
</cp:coreProperties>
</file>