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the factor derived from the table set forth in Exhibit "B" based on a corresponding Load Factor, which shall be used to convert HP-hours to MMBtu.</w:t>
      </w:r>
    </w:p>
    <w:p>
      <w:pPr>
        <w:pStyle w:val="Normal"/>
        <w:widowControl/>
        <w:ind w:start="630" w:end="0"/>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w:t>
      </w:r>
    </w:p>
    <w:p>
      <w:pPr>
        <w:pStyle w:val="Normal"/>
        <w:widowControl/>
        <w:ind w:start="630" w:end="0"/>
        <w:rPr/>
      </w:pPr>
      <w:r>
        <w:rPr/>
      </w:r>
    </w:p>
    <w:p>
      <w:pPr>
        <w:pStyle w:val="Normal"/>
        <w:widowControl/>
        <w:ind w:hanging="630" w:start="630" w:end="0"/>
        <w:rPr/>
      </w:pPr>
      <w:r>
        <w:rPr/>
        <w:t>2.</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hanging="630" w:start="630" w:end="0"/>
        <w:rPr/>
      </w:pPr>
      <w:r>
        <w:rPr/>
        <w:t>3.</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720" w:end="0"/>
        <w:rPr/>
      </w:pPr>
      <w:r>
        <w:rPr/>
        <w:t>5.</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6.</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2981" w:type="dxa"/>
        <w:jc w:val="center"/>
        <w:tblInd w:w="0" w:type="dxa"/>
        <w:tblLayout w:type="fixed"/>
        <w:tblCellMar>
          <w:top w:w="0" w:type="dxa"/>
          <w:start w:w="30" w:type="dxa"/>
          <w:bottom w:w="0" w:type="dxa"/>
          <w:end w:w="30" w:type="dxa"/>
        </w:tblCellMar>
      </w:tblPr>
      <w:tblGrid>
        <w:gridCol w:w="1231"/>
        <w:gridCol w:w="1750"/>
      </w:tblGrid>
      <w:tr>
        <w:trPr>
          <w:trHeight w:val="16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/mnt/main-storage/datasets/enron-docs/doc/CSA_Bloomfield_Amd__ECC_2.doc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1999-06-15T19:11:00Z</dcterms:created>
  <dc:creator>gnemec</dc:creator>
  <dc:description/>
  <dc:language>en-CA</dc:language>
  <cp:lastModifiedBy>gnemec</cp:lastModifiedBy>
  <cp:lastPrinted>1999-06-15T18:06:00Z</cp:lastPrinted>
  <dcterms:modified xsi:type="dcterms:W3CDTF">1999-06-15T20:56:00Z</dcterms:modified>
  <cp:revision>10</cp:revision>
  <dc:subject/>
  <dc:title>AMENDMENT</dc:title>
</cp:coreProperties>
</file>