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COMPRESSION SERVICES AGREEMENT</w:t>
      </w:r>
    </w:p>
    <w:p>
      <w:pPr>
        <w:pStyle w:val="Normal"/>
        <w:widowControl/>
        <w:jc w:val="center"/>
        <w:rPr>
          <w:b/>
        </w:rPr>
      </w:pPr>
      <w:r>
        <w:rPr>
          <w:b/>
        </w:rPr>
        <w:t>(BLOOMFIELD)</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(Bloomfield Compressor Station) (the "</w:t>
      </w:r>
      <w:r>
        <w:rPr>
          <w:u w:val="single"/>
        </w:rPr>
        <w:t>Agreement</w:t>
      </w:r>
      <w:r>
        <w:rPr/>
        <w:t>") dated March 31, 1999, governing ECT's provision of compression services at Customer's Bloomfield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effective as of June ____,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numPr>
          <w:ilvl w:val="0"/>
          <w:numId w:val="2"/>
        </w:numPr>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""Conversion Factor" shall mean, for a given Load Factor, the factor used to convert HP-hours to MMBtu, as derived from the table set forth in Exhibit "B", attached hereto.</w:t>
      </w:r>
    </w:p>
    <w:p>
      <w:pPr>
        <w:pStyle w:val="Normal"/>
        <w:widowControl/>
        <w:ind w:start="630" w:end="0"/>
        <w:rPr/>
      </w:pPr>
      <w:r>
        <w:rPr/>
      </w:r>
    </w:p>
    <w:p>
      <w:pPr>
        <w:pStyle w:val="Normal"/>
        <w:widowControl/>
        <w:ind w:start="630" w:end="0"/>
        <w:rPr/>
      </w:pPr>
      <w:r>
        <w:rPr/>
        <w:t>"Load Factor" shall mean the aggregate amount of Shaft Energy delivered to the Customer during the applicable month divided by the Monthly Contract Quantity.</w:t>
      </w:r>
    </w:p>
    <w:p>
      <w:pPr>
        <w:pStyle w:val="Normal"/>
        <w:widowControl/>
        <w:ind w:start="630" w:end="0"/>
        <w:rPr/>
      </w:pPr>
      <w:r>
        <w:rPr/>
      </w:r>
    </w:p>
    <w:p>
      <w:pPr>
        <w:pStyle w:val="Normal"/>
        <w:widowControl/>
        <w:ind w:start="630" w:end="0"/>
        <w:rPr/>
      </w:pPr>
      <w:r>
        <w:rPr/>
        <w:t>"Monthly Contract Quantity" shall mean the 7,000 HP-hours per hour multiplied by the number of hours in the applicable month."</w:t>
      </w:r>
    </w:p>
    <w:p>
      <w:pPr>
        <w:pStyle w:val="Normal"/>
        <w:widowControl/>
        <w:ind w:start="630" w:end="0"/>
        <w:rPr/>
      </w:pPr>
      <w:r>
        <w:rPr/>
      </w:r>
    </w:p>
    <w:p>
      <w:pPr>
        <w:pStyle w:val="Normal"/>
        <w:widowControl/>
        <w:ind w:hanging="630" w:start="630" w:end="0"/>
        <w:rPr/>
      </w:pPr>
      <w:r>
        <w:rPr/>
        <w:t>2.</w:t>
        <w:tab/>
        <w:t>Section 3.2(a) "</w:t>
      </w:r>
      <w:r>
        <w:rPr>
          <w:u w:val="single"/>
        </w:rPr>
        <w:t>HP-hour Charge"</w:t>
      </w:r>
      <w:r>
        <w:rPr/>
        <w:t>, of the Agreement is hereby amended and restated by deleting it in its entirety and replacing it with the following:</w:t>
      </w:r>
    </w:p>
    <w:p>
      <w:pPr>
        <w:pStyle w:val="Normal"/>
        <w:widowControl/>
        <w:rPr/>
      </w:pPr>
      <w:r>
        <w:rPr/>
      </w:r>
    </w:p>
    <w:p>
      <w:pPr>
        <w:pStyle w:val="Normal"/>
        <w:widowControl/>
        <w:ind w:start="720" w:end="0"/>
        <w:rPr/>
      </w:pPr>
      <w:r>
        <w:rPr/>
        <w:t>"The monthly HP-hour Charge for each month shall be the product of Conversion Factor for the second month preceding the month for which the HP-hour Charge is being calculated (based on the Load Factor for such month, as set forth in the table in Exhibit "B"), multiplied by the aggregate amount of Shaft Energy delivered to Customer during the second month preceding the month for which the HP-hour Charge is being calculated, further multiplied by 1.0131.  For example, the monthly HP-hour Charge for May shall be based on the HP-hours and Conversion Factor for the preceding March."</w:t>
      </w:r>
    </w:p>
    <w:p>
      <w:pPr>
        <w:pStyle w:val="Normal"/>
        <w:widowControl/>
        <w:ind w:start="720" w:end="0"/>
        <w:rPr/>
      </w:pPr>
      <w:r>
        <w:rPr/>
      </w:r>
    </w:p>
    <w:p>
      <w:pPr>
        <w:pStyle w:val="Normal"/>
        <w:widowControl/>
        <w:ind w:hanging="630" w:start="630" w:end="0"/>
        <w:rPr/>
      </w:pPr>
      <w:r>
        <w:rPr/>
        <w:t>3.</w:t>
        <w:tab/>
        <w:t>Section 7.3 "</w:t>
      </w:r>
      <w:r>
        <w:rPr>
          <w:u w:val="single"/>
        </w:rPr>
        <w:t>Termination Payment</w:t>
      </w:r>
      <w:r>
        <w:rPr/>
        <w:t>", of the Agreement is hereby amended by deleting the 2nd sentence in its entirety and replacing it with the following:</w:t>
      </w:r>
    </w:p>
    <w:p>
      <w:pPr>
        <w:pStyle w:val="Normal"/>
        <w:widowControl/>
        <w:ind w:hanging="630" w:start="630" w:end="0"/>
        <w:rPr/>
      </w:pPr>
      <w:r>
        <w:rPr/>
      </w:r>
    </w:p>
    <w:p>
      <w:pPr>
        <w:pStyle w:val="Normal"/>
        <w:widowControl/>
        <w:ind w:hanging="630" w:start="630" w:end="0"/>
        <w:rPr/>
      </w:pPr>
      <w:r>
        <w:rPr/>
        <w:tab/>
        <w:t xml:space="preserve">" The Termination Payment will be determined by calculating the value under this Agreement (discounted to the Early Termination Date at a rate per annum equal to the average yield to maturity of United States Treasury Obligations having a comparable maturity date) of (i) the Fuel Gas that would have been delivered under this Agreement from the Early Termination Date through the end of the Term had the Agreement not been terminated and (ii) the equivalent quantities and relevant market prices for Fuel Gas for the remaining term of this Agreement (either quoted by a bona fide third party offer or which are reasonably expected to be available in the market under a replacement contract for this Agreement).  The value of the Fuel Gas in clause (i) above shall be calculated in accordance with the table attached hereto as Exhibit "C". </w:t>
      </w:r>
    </w:p>
    <w:p>
      <w:pPr>
        <w:pStyle w:val="Normal"/>
        <w:widowControl/>
        <w:ind w:start="720" w:end="0"/>
        <w:rPr/>
      </w:pPr>
      <w:r>
        <w:rPr/>
      </w:r>
    </w:p>
    <w:p>
      <w:pPr>
        <w:pStyle w:val="Normal"/>
        <w:widowControl/>
        <w:numPr>
          <w:ilvl w:val="0"/>
          <w:numId w:val="3"/>
        </w:numPr>
        <w:tabs>
          <w:tab w:val="clear" w:pos="720"/>
          <w:tab w:val="left" w:pos="630" w:leader="none"/>
        </w:tabs>
        <w:rPr/>
      </w:pPr>
      <w:r>
        <w:rPr/>
        <w:t>The Agreement is hereby amended by adding Schedule I, attached hereto.</w:t>
      </w:r>
    </w:p>
    <w:p>
      <w:pPr>
        <w:pStyle w:val="Normal"/>
        <w:widowControl/>
        <w:rPr/>
      </w:pPr>
      <w:r>
        <w:rPr/>
      </w:r>
    </w:p>
    <w:p>
      <w:pPr>
        <w:pStyle w:val="Normal"/>
        <w:widowControl/>
        <w:numPr>
          <w:ilvl w:val="0"/>
          <w:numId w:val="3"/>
        </w:numPr>
        <w:tabs>
          <w:tab w:val="clear" w:pos="720"/>
          <w:tab w:val="left" w:pos="630" w:leader="none"/>
        </w:tabs>
        <w:rPr/>
      </w:pPr>
      <w:r>
        <w:rPr/>
        <w:t>The Agreement is hereby amended by adding Schedule II, attached hereto.</w:t>
      </w:r>
    </w:p>
    <w:p>
      <w:pPr>
        <w:pStyle w:val="Normal"/>
        <w:widowControl/>
        <w:ind w:firstLine="720" w:start="720" w:end="0"/>
        <w:rPr/>
      </w:pPr>
      <w:r>
        <w:rPr/>
      </w:r>
    </w:p>
    <w:p>
      <w:pPr>
        <w:pStyle w:val="BodyTextIndent"/>
        <w:widowControl/>
        <w:ind w:hanging="720" w:end="0"/>
        <w:rPr/>
      </w:pPr>
      <w:r>
        <w:rPr/>
        <w:t>6.</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start="0" w:end="0"/>
        <w:rPr/>
      </w:pPr>
      <w:r>
        <w:rPr/>
      </w:r>
    </w:p>
    <w:p>
      <w:pPr>
        <w:pStyle w:val="BodyTextIndent"/>
        <w:widowControl/>
        <w:ind w:hanging="720" w:end="0"/>
        <w:rPr/>
      </w:pPr>
      <w:r>
        <w:rPr/>
        <w:t>7.</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tab/>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B</w:t>
      </w:r>
    </w:p>
    <w:p>
      <w:pPr>
        <w:pStyle w:val="BodyTextIndent"/>
        <w:widowControl/>
        <w:ind w:start="0" w:end="0"/>
        <w:jc w:val="center"/>
        <w:rPr/>
      </w:pPr>
      <w:r>
        <w:rPr/>
        <w:t>CONVERSION FACTOR vs. LOAD FACTOR</w:t>
      </w:r>
    </w:p>
    <w:tbl>
      <w:tblPr>
        <w:tblW w:w="2981" w:type="dxa"/>
        <w:jc w:val="center"/>
        <w:tblInd w:w="0" w:type="dxa"/>
        <w:tblLayout w:type="fixed"/>
        <w:tblCellMar>
          <w:top w:w="0" w:type="dxa"/>
          <w:start w:w="30" w:type="dxa"/>
          <w:bottom w:w="0" w:type="dxa"/>
          <w:end w:w="30" w:type="dxa"/>
        </w:tblCellMar>
      </w:tblPr>
      <w:tblGrid>
        <w:gridCol w:w="1231"/>
        <w:gridCol w:w="1750"/>
      </w:tblGrid>
      <w:tr>
        <w:trPr>
          <w:trHeight w:val="16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 w:val="false"/>
                <w:sz w:val="20"/>
                <w:u w:val="single"/>
              </w:rPr>
            </w:pPr>
            <w:r>
              <w:rPr>
                <w:rFonts w:cs="Arial" w:ascii="Arial" w:hAnsi="Arial"/>
                <w:b w:val="false"/>
                <w:sz w:val="20"/>
                <w:u w:val="single"/>
              </w:rPr>
              <w:t>Conversion Factor</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0.02405</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0.02430</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0.02455</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0.02480</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0.02506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0.02533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0.02560</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0.02588</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0.02616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0.02675</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0.02706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0.02737</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0.02769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0.02801</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0.02834</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0.02869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0.02904</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0.02939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0.03014</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0.03053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0.03092</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0.03133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0.03175</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0.03218</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0.03262</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0.03307</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0.03353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0.03401</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0.03451</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0.03501</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0.03554</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0.03608</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0.03663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0.03720</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0.03779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0.03840</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0.03903</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0.03968</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0.04036</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0.04105</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0.04177</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0.04252</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0.04329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0.04409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0.04492</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0.04579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0.04669</w:t>
            </w:r>
          </w:p>
        </w:tc>
      </w:tr>
      <w:tr>
        <w:trPr>
          <w:trHeight w:val="14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0.04762</w:t>
            </w:r>
          </w:p>
        </w:tc>
      </w:tr>
    </w:tbl>
    <w:p>
      <w:pPr>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pPr>
    </w:p>
    <w:p>
      <w:pPr>
        <w:pStyle w:val="BodyTextIndent"/>
        <w:widowControl/>
        <w:ind w:start="0" w:end="0"/>
        <w:jc w:val="center"/>
        <w:rPr>
          <w:b/>
        </w:rPr>
      </w:pPr>
      <w:r>
        <w:rPr>
          <w:b/>
        </w:rPr>
        <w:t>EXHIBIT C</w:t>
      </w:r>
    </w:p>
    <w:p>
      <w:pPr>
        <w:pStyle w:val="BodyTextIndent"/>
        <w:widowControl/>
        <w:ind w:start="0" w:end="0"/>
        <w:jc w:val="center"/>
        <w:rPr>
          <w:b/>
        </w:rPr>
      </w:pPr>
      <w:r>
        <w:rPr>
          <w:b/>
        </w:rPr>
        <w:t>SECTION 7.3(i) FUEL GAS PRICING</w:t>
      </w:r>
    </w:p>
    <w:p>
      <w:pPr>
        <w:pStyle w:val="BodyTextIndent"/>
        <w:widowControl/>
        <w:ind w:start="0" w:end="0"/>
        <w:jc w:val="center"/>
        <w:rPr>
          <w:b/>
        </w:rPr>
      </w:pPr>
      <w:r>
        <w:rPr>
          <w:b/>
        </w:rPr>
      </w:r>
    </w:p>
    <w:tbl>
      <w:tblPr>
        <w:tblW w:w="9846" w:type="dxa"/>
        <w:jc w:val="start"/>
        <w:tblInd w:w="0" w:type="dxa"/>
        <w:tblLayout w:type="fixed"/>
        <w:tblCellMar>
          <w:top w:w="0" w:type="dxa"/>
          <w:start w:w="108" w:type="dxa"/>
          <w:bottom w:w="0" w:type="dxa"/>
          <w:end w:w="108" w:type="dxa"/>
        </w:tblCellMar>
      </w:tblPr>
      <w:tblGrid>
        <w:gridCol w:w="5418"/>
        <w:gridCol w:w="4428"/>
      </w:tblGrid>
      <w:tr>
        <w:trPr/>
        <w:tc>
          <w:tcPr>
            <w:tcW w:w="5418" w:type="dxa"/>
            <w:tcBorders>
              <w:top w:val="single" w:sz="4" w:space="0" w:color="000000"/>
              <w:start w:val="single" w:sz="4" w:space="0" w:color="000000"/>
              <w:bottom w:val="single" w:sz="4" w:space="0" w:color="000000"/>
              <w:end w:val="single" w:sz="4" w:space="0" w:color="000000"/>
            </w:tcBorders>
          </w:tcPr>
          <w:p>
            <w:pPr>
              <w:pStyle w:val="BodyText"/>
              <w:rPr>
                <w:b/>
                <w:i/>
                <w:i/>
              </w:rPr>
            </w:pPr>
            <w:r>
              <w:rPr>
                <w:b/>
                <w:i/>
              </w:rPr>
              <w:t>Fuel Gas Delivery Period</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b/>
                <w:i/>
                <w:i/>
              </w:rPr>
            </w:pPr>
            <w:r>
              <w:rPr>
                <w:b/>
                <w:i/>
              </w:rPr>
              <w:t>Fuel Gas Price</w:t>
            </w:r>
          </w:p>
          <w:p>
            <w:pPr>
              <w:pStyle w:val="BodyText"/>
              <w:jc w:val="center"/>
              <w:rPr>
                <w:b/>
              </w:rPr>
            </w:pPr>
            <w:r>
              <w:rPr>
                <w:b/>
                <w:i/>
              </w:rPr>
              <w:t>($/MMBtu)</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1998 – November 30, 1999</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1999 – November 30, 2000</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2000 – November 30, 2001</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2001 – November 30, 2002</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2002 – November 30, 2003</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2003 – November 30, 2004</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2004 – November 30, 2005</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2005 – November 30, 2006</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bl>
    <w:p>
      <w:pPr>
        <w:pStyle w:val="BodyTextIndent"/>
        <w:widowControl/>
        <w:ind w:start="0" w:end="0"/>
        <w:jc w:val="center"/>
        <w:rPr>
          <w:b/>
        </w:rPr>
      </w:pPr>
      <w:r>
        <w:rPr>
          <w:b/>
        </w:rPr>
      </w:r>
    </w:p>
    <w:p>
      <w:pPr>
        <w:pStyle w:val="BodyTextIndent"/>
        <w:widowControl/>
        <w:ind w:start="0" w:end="0"/>
        <w:jc w:val="end"/>
        <w:rPr>
          <w:b/>
        </w:rPr>
      </w:pPr>
      <w:r>
        <w:rPr>
          <w:b/>
        </w:rPr>
      </w:r>
    </w:p>
    <w:sectPr>
      <w:footerReference w:type="default" r:id="rId6"/>
      <w:footerReference w:type="first" r:id="rId7"/>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/mnt/main-storage/datasets/enron-docs/doc/CSA_Bloomfield_Amd__ECC_.doc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630"/>
        </w:tabs>
        <w:ind w:start="630" w:hanging="630"/>
      </w:pPr>
      <w:rPr/>
    </w:lvl>
  </w:abstractNum>
  <w:abstractNum w:abstractNumId="3">
    <w:lvl w:ilvl="0">
      <w:start w:val="4"/>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1999-06-13T15:42:00Z</dcterms:created>
  <dc:creator>gnemec</dc:creator>
  <dc:description/>
  <dc:language>en-CA</dc:language>
  <cp:lastModifiedBy>gnemec</cp:lastModifiedBy>
  <cp:lastPrinted>1999-06-13T15:39:00Z</cp:lastPrinted>
  <dcterms:modified xsi:type="dcterms:W3CDTF">1999-06-14T11:51:00Z</dcterms:modified>
  <cp:revision>27</cp:revision>
  <dc:subject/>
  <dc:title>AMENDMENT</dc:title>
</cp:coreProperties>
</file>