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w:t>
      </w:r>
    </w:p>
    <w:p>
      <w:pPr>
        <w:pStyle w:val="Heading"/>
        <w:widowControl/>
        <w:rPr>
          <w:b w:val="false"/>
        </w:rPr>
      </w:pPr>
      <w:r>
        <w:rPr/>
        <w:t>TO COMPRESSION SERVICES AGREEMENT (BISTI)</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(Bisti Compressor Station) (the "</w:t>
      </w:r>
      <w:r>
        <w:rPr>
          <w:u w:val="single"/>
        </w:rPr>
        <w:t>Agreement</w:t>
      </w:r>
      <w:r>
        <w:rPr/>
        <w:t>") dated March 31, 1999, governing ECT's provision of compression services at Customer's Bisti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30,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1.1 "</w:t>
      </w:r>
      <w:r>
        <w:rPr>
          <w:u w:val="single"/>
        </w:rPr>
        <w:t>Definitions</w:t>
      </w:r>
      <w:r>
        <w:rPr/>
        <w:t>", of the Agreement is hereby amended by deleting the definition of Bisti Actual Compression Services Charge, Bloomfield Actual Compression Services Charge, Minimum Compression Services Charge, Total Actual Compression Services Charge, and Total Minimum Compression Services Charge in their entirety.</w:t>
      </w:r>
    </w:p>
    <w:p>
      <w:pPr>
        <w:pStyle w:val="Normal"/>
        <w:widowControl/>
        <w:rPr/>
      </w:pPr>
      <w:r>
        <w:rPr/>
      </w:r>
    </w:p>
    <w:p>
      <w:pPr>
        <w:pStyle w:val="Normal"/>
        <w:widowControl/>
        <w:ind w:hanging="630" w:start="630" w:end="0"/>
        <w:rPr/>
      </w:pPr>
      <w:r>
        <w:rPr/>
        <w:t>2.</w:t>
        <w:tab/>
        <w:t>Section 1.1 "</w:t>
      </w:r>
      <w:r>
        <w:rPr>
          <w:u w:val="single"/>
        </w:rPr>
        <w:t>Definitions</w:t>
      </w:r>
      <w:r>
        <w:rPr/>
        <w:t>", of the Agreement is hereby amended by deleting the definition of Conversion Factor in its entirety and replacing it with the following:</w:t>
      </w:r>
    </w:p>
    <w:p>
      <w:pPr>
        <w:pStyle w:val="Normal"/>
        <w:widowControl/>
        <w:ind w:hanging="630" w:start="630" w:end="0"/>
        <w:rPr/>
      </w:pPr>
      <w:r>
        <w:rPr/>
      </w:r>
    </w:p>
    <w:p>
      <w:pPr>
        <w:pStyle w:val="Normal"/>
        <w:widowControl/>
        <w:ind w:start="630" w:end="0"/>
        <w:rPr/>
      </w:pPr>
      <w:r>
        <w:rPr/>
        <w:t>""Conversion Factor" shall mean the factor derived from the table set forth in Exhibit "C" based on a corresponding Load Factor, which shall be used to convert HP-hours to MMBtu."</w:t>
      </w:r>
    </w:p>
    <w:p>
      <w:pPr>
        <w:pStyle w:val="Normal"/>
        <w:widowControl/>
        <w:ind w:start="630" w:end="0"/>
        <w:rPr/>
      </w:pPr>
      <w:r>
        <w:rPr/>
      </w:r>
    </w:p>
    <w:p>
      <w:pPr>
        <w:pStyle w:val="Normal"/>
        <w:widowControl/>
        <w:numPr>
          <w:ilvl w:val="0"/>
          <w:numId w:val="4"/>
        </w:numPr>
        <w:tabs>
          <w:tab w:val="clear" w:pos="720"/>
          <w:tab w:val="left" w:pos="630" w:leader="none"/>
        </w:tabs>
        <w:ind w:hanging="630" w:start="630" w:end="0"/>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10,000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widowControl/>
        <w:rPr/>
      </w:pPr>
      <w:r>
        <w:rPr/>
      </w:r>
    </w:p>
    <w:p>
      <w:pPr>
        <w:pStyle w:val="Normal"/>
        <w:widowControl/>
        <w:ind w:hanging="630" w:start="630" w:end="0"/>
        <w:rPr/>
      </w:pPr>
      <w:r>
        <w:rPr/>
      </w:r>
    </w:p>
    <w:p>
      <w:pPr>
        <w:pStyle w:val="Normal"/>
        <w:widowControl/>
        <w:ind w:hanging="630" w:start="630" w:end="0"/>
        <w:rPr/>
      </w:pPr>
      <w:r>
        <w:rPr/>
      </w:r>
    </w:p>
    <w:p>
      <w:pPr>
        <w:pStyle w:val="Normal"/>
        <w:widowControl/>
        <w:ind w:hanging="630" w:start="630" w:end="0"/>
        <w:rPr/>
      </w:pPr>
      <w:r>
        <w:rPr/>
        <w:t>4.</w:t>
        <w:tab/>
        <w:t>Section 3.2 "</w:t>
      </w:r>
      <w:r>
        <w:rPr>
          <w:u w:val="single"/>
        </w:rPr>
        <w:t>Compression Services Charge"</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start="630" w:end="0"/>
        <w:rPr/>
      </w:pPr>
      <w:r>
        <w:rPr/>
        <w:t xml:space="preserve">"3.2 </w:t>
      </w:r>
      <w:r>
        <w:rPr>
          <w:u w:val="single"/>
        </w:rPr>
        <w:t>Compression Services Charge</w:t>
      </w:r>
      <w:r>
        <w:rPr/>
        <w:t>. In addition to the Annual Demand Charge, Customer shall pay ECT a monthly Compression Services Charge in MMBtus of natural gas ("Fuel Gas") based upon the amount of Shaft Energy (other than Buy Through Shaft Energy) actually delivered to Customer each month pursuant to this Agreement.  The Compression Services Charge shall be calculated as follows:</w:t>
      </w:r>
    </w:p>
    <w:p>
      <w:pPr>
        <w:pStyle w:val="Normal"/>
        <w:widowControl/>
        <w:rPr/>
      </w:pPr>
      <w:r>
        <w:rPr/>
      </w:r>
    </w:p>
    <w:p>
      <w:pPr>
        <w:pStyle w:val="BodyTextIndent"/>
        <w:widowControl/>
        <w:numPr>
          <w:ilvl w:val="0"/>
          <w:numId w:val="2"/>
        </w:numPr>
        <w:rPr/>
      </w:pPr>
      <w:r>
        <w:rPr/>
        <w:t>The monthly Compression Services Charge for each month shall be the product of Conversion Factor for the second month preceding the month for which the Compression Services Charge is being calculated (based on the Load Factor for such month, as set forth in the table in Exhibit "C"), multiplied by the aggregate amount of Shaft Energy (including all equivalent HP-hours during which there is an interruption of Shaft Energy delivery by ECT in accordance with Section 2.4 of this Agreement or a Force Majeure event hereunder) delivered to Customer during the second month preceding the month for which the Compression Services Charge is being calculated, further multiplied by 1.0131.  For example, the monthly Compression Services Charge for May shall be based on the HP-hours and Conversion Factor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890" w:leader="none"/>
        </w:tabs>
        <w:rPr/>
      </w:pPr>
      <w:r>
        <w:rPr/>
        <w:t>The amount of Shaft Energy actually delivered to Customer each month shall be equal to the product of (i) the amount of kWh consumed by the Compressor Motor during such month, as measured by the Primary Meter times (ii) 1.34."</w:t>
      </w:r>
    </w:p>
    <w:p>
      <w:pPr>
        <w:pStyle w:val="BodyTextIndent"/>
        <w:widowControl/>
        <w:rPr/>
      </w:pPr>
      <w:r>
        <w:rPr/>
      </w:r>
    </w:p>
    <w:p>
      <w:pPr>
        <w:pStyle w:val="Normal"/>
        <w:widowControl/>
        <w:ind w:hanging="630" w:start="630" w:end="0"/>
        <w:rPr/>
      </w:pPr>
      <w:r>
        <w:rPr/>
        <w:t>5.</w:t>
        <w:tab/>
        <w:t>Section 6.3(b) "</w:t>
      </w:r>
      <w:r>
        <w:rPr>
          <w:u w:val="single"/>
        </w:rPr>
        <w:t>Early Termination</w:t>
      </w:r>
      <w:r>
        <w:rPr/>
        <w:t>", of the Agreement is hereby amended and restated by deleting it in its entirety and replacing it with the following:</w:t>
      </w:r>
    </w:p>
    <w:p>
      <w:pPr>
        <w:pStyle w:val="Normal"/>
        <w:widowControl/>
        <w:ind w:hanging="630" w:start="630" w:end="0"/>
        <w:rPr/>
      </w:pPr>
      <w:r>
        <w:rPr/>
      </w:r>
    </w:p>
    <w:p>
      <w:pPr>
        <w:pStyle w:val="BodyTextIndent2"/>
        <w:tabs>
          <w:tab w:val="clear" w:pos="1440"/>
          <w:tab w:val="left" w:pos="720" w:leader="none"/>
        </w:tabs>
        <w:ind w:hanging="0" w:start="720" w:end="0"/>
        <w:rPr/>
      </w:pPr>
      <w:r>
        <w:rPr/>
        <w:t>"In the event of a termination of this Agreement pursuant to Section 6.3(a), then (i) from and after the date of such termination through the end of the Term, Customer shall deliver Fuel Gas to ECT each month in an amount equal to the Compression Services Charge calculated in accordance with Section 3.2(a) for the amount of Shaft Energy produced by the Compressor Motor, if the Customer continues to utilize the Compressor Motor to drive the Compressor and (ii) ECT shall pay Customer for such Fuel Gas at the price as set forth in Exhibit "D".  Deliveries of Fuel Gas shall be in equal daily installments at the delivery point specified in Section 3.4 hereof.  Payments by ECT shall be paid within ten (10) days after receipt of an invoice from Customer for such Fuel Gas.  Notwithstanding any other provision of this Agreement, this Section 6.3(b) shall survive the termination of this Agreement.  The parties rights and obligations under this Section 6.3(b) shall terminate if Customer ceases to utilize the Compressor Motor to drive the Compressor."</w:t>
      </w:r>
    </w:p>
    <w:p>
      <w:pPr>
        <w:pStyle w:val="BodyTextIndent"/>
        <w:widowControl/>
        <w:rPr/>
      </w:pPr>
      <w:r>
        <w:rPr/>
      </w:r>
    </w:p>
    <w:p>
      <w:pPr>
        <w:pStyle w:val="Normal"/>
        <w:widowControl/>
        <w:ind w:hanging="630" w:start="630" w:end="0"/>
        <w:rPr/>
      </w:pPr>
      <w:r>
        <w:rPr/>
        <w:t>6.</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5"/>
        </w:numPr>
        <w:tabs>
          <w:tab w:val="clear" w:pos="720"/>
          <w:tab w:val="left" w:pos="630" w:leader="none"/>
        </w:tabs>
        <w:ind w:hanging="630" w:start="630" w:end="0"/>
        <w:rPr/>
      </w:pPr>
      <w:r>
        <w:rPr/>
        <w:t>Exhibit "C" of the Agreement is hereby amended and restated by deleting it in its entirety and replacing it with Schedule I, attached hereto.</w:t>
      </w:r>
    </w:p>
    <w:p>
      <w:pPr>
        <w:pStyle w:val="Normal"/>
        <w:widowControl/>
        <w:rPr/>
      </w:pPr>
      <w:r>
        <w:rPr/>
      </w:r>
    </w:p>
    <w:p>
      <w:pPr>
        <w:pStyle w:val="Normal"/>
        <w:widowControl/>
        <w:numPr>
          <w:ilvl w:val="0"/>
          <w:numId w:val="5"/>
        </w:numPr>
        <w:tabs>
          <w:tab w:val="clear" w:pos="720"/>
          <w:tab w:val="left" w:pos="630" w:leader="none"/>
        </w:tabs>
        <w:rPr/>
      </w:pPr>
      <w:r>
        <w:rPr/>
        <w:t>The Agreement is hereby amended by adding Schedule II, attached hereto.</w:t>
      </w:r>
    </w:p>
    <w:p>
      <w:pPr>
        <w:pStyle w:val="Normal"/>
        <w:widowControl/>
        <w:rPr/>
      </w:pPr>
      <w:r>
        <w:rPr/>
      </w:r>
    </w:p>
    <w:p>
      <w:pPr>
        <w:pStyle w:val="BodyTextIndent"/>
        <w:widowControl/>
        <w:ind w:hanging="720" w:end="0"/>
        <w:rPr/>
      </w:pPr>
      <w:r>
        <w:rPr/>
      </w:r>
    </w:p>
    <w:p>
      <w:pPr>
        <w:pStyle w:val="BodyTextIndent"/>
        <w:widowControl/>
        <w:ind w:hanging="630" w:start="630" w:end="0"/>
        <w:rPr/>
      </w:pPr>
      <w:r>
        <w:rPr/>
        <w:t>9.</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3"/>
        </w:numPr>
        <w:tabs>
          <w:tab w:val="left" w:pos="720" w:leader="none"/>
        </w:tabs>
        <w:ind w:hanging="720" w:start="720" w:end="0"/>
        <w:rPr/>
      </w:pPr>
      <w:r>
        <w:rPr/>
        <w:t>This Amendment supersedes the amendment concerning the subject matter hereof dated June 18, 1999 and replaces it in its entirety.</w:t>
      </w:r>
    </w:p>
    <w:p>
      <w:pPr>
        <w:pStyle w:val="BodyTextIndent"/>
        <w:widowControl/>
        <w:ind w:start="0" w:end="0"/>
        <w:rPr/>
      </w:pPr>
      <w:r>
        <w:rPr/>
      </w:r>
    </w:p>
    <w:p>
      <w:pPr>
        <w:pStyle w:val="BodyTextIndent"/>
        <w:widowControl/>
        <w:ind w:hanging="720" w:end="0"/>
        <w:rPr/>
      </w:pPr>
      <w:r>
        <w:rPr/>
        <w:t>11.</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C</w:t>
      </w:r>
    </w:p>
    <w:p>
      <w:pPr>
        <w:pStyle w:val="BodyTextIndent"/>
        <w:widowControl/>
        <w:ind w:start="0" w:end="0"/>
        <w:jc w:val="center"/>
        <w:rPr/>
      </w:pPr>
      <w:r>
        <w:rPr/>
        <w:t>CONVERSION FACTOR vs. LOAD FACTOR</w:t>
      </w:r>
    </w:p>
    <w:tbl>
      <w:tblPr>
        <w:tblW w:w="3326" w:type="dxa"/>
        <w:jc w:val="center"/>
        <w:tblInd w:w="0" w:type="dxa"/>
        <w:tblLayout w:type="fixed"/>
        <w:tblCellMar>
          <w:top w:w="0" w:type="dxa"/>
          <w:start w:w="30" w:type="dxa"/>
          <w:bottom w:w="0" w:type="dxa"/>
          <w:end w:w="30" w:type="dxa"/>
        </w:tblCellMar>
      </w:tblPr>
      <w:tblGrid>
        <w:gridCol w:w="1576"/>
        <w:gridCol w:w="1750"/>
      </w:tblGrid>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0.02008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0.02033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0.02058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0.02110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0.02137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0.02165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0.02193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0.02222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0.02252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0.02347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0.02604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0.02778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0.02874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0.02924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0.03030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0.03086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0.03145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0.03205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ind w:start="-249" w:end="0"/>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0.03333</w:t>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pStyle w:val="BodyTextIndent"/>
        <w:widowControl/>
        <w:ind w:start="0" w:end="0"/>
        <w:jc w:val="center"/>
        <w:rPr>
          <w:b/>
        </w:rPr>
      </w:pPr>
      <w:r>
        <w:rPr>
          <w:b/>
        </w:rPr>
      </w:r>
    </w:p>
    <w:p>
      <w:pPr>
        <w:pStyle w:val="BodyTextIndent"/>
        <w:widowControl/>
        <w:ind w:start="0" w:end="0"/>
        <w:jc w:val="center"/>
        <w:rPr>
          <w:b/>
        </w:rPr>
      </w:pPr>
      <w:r>
        <w:rPr>
          <w:b/>
        </w:rPr>
        <w:t>EXHIBIT D</w:t>
      </w:r>
    </w:p>
    <w:p>
      <w:pPr>
        <w:pStyle w:val="BodyTextIndent"/>
        <w:widowControl/>
        <w:ind w:start="0" w:end="0"/>
        <w:jc w:val="center"/>
        <w:rPr>
          <w:b/>
        </w:rPr>
      </w:pPr>
      <w:r>
        <w:rPr>
          <w:b/>
        </w:rPr>
        <w:t>SECTION 6.3(b) FUEL GAS PRICING</w:t>
      </w:r>
    </w:p>
    <w:p>
      <w:pPr>
        <w:pStyle w:val="BodyTextIndent"/>
        <w:widowControl/>
        <w:ind w:start="0" w:end="0"/>
        <w:jc w:val="center"/>
        <w:rPr>
          <w:b/>
        </w:rPr>
      </w:pPr>
      <w:r>
        <w:rPr>
          <w:b/>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4" w:space="0" w:color="000000"/>
              <w:start w:val="single" w:sz="4" w:space="0" w:color="000000"/>
              <w:bottom w:val="single" w:sz="4" w:space="0" w:color="000000"/>
              <w:end w:val="single" w:sz="4" w:space="0" w:color="000000"/>
            </w:tcBorders>
          </w:tcPr>
          <w:p>
            <w:pPr>
              <w:pStyle w:val="BodyText"/>
              <w:rPr>
                <w:b/>
                <w:i/>
                <w:i/>
              </w:rPr>
            </w:pPr>
            <w:r>
              <w:rPr>
                <w:b/>
                <w:i/>
              </w:rPr>
              <w:t>Fuel Gas Delivery Period</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b/>
                <w:i/>
                <w:i/>
              </w:rPr>
            </w:pPr>
            <w:r>
              <w:rPr>
                <w:b/>
                <w:i/>
              </w:rPr>
              <w:t>Fuel Gas Price</w:t>
            </w:r>
          </w:p>
          <w:p>
            <w:pPr>
              <w:pStyle w:val="BodyText"/>
              <w:jc w:val="center"/>
              <w:rPr>
                <w:b/>
              </w:rPr>
            </w:pPr>
            <w:r>
              <w:rPr>
                <w:b/>
                <w:i/>
              </w:rPr>
              <w:t>($/MMBtu)</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1999 – December 31, 1999</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1.0909</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2000 – December 31, 2000</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1.1029</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2001 – December 31, 2001</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1.1410</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2002 – December 31, 2002</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1.1835</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2003 – December 31, 2003</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1.2227</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2004 – December 31, 2004</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1.2634</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2005 – December 31, 2005</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1.3045</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2006 – December 31, 2006</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1.3461</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2007 – December 31, 2007</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1.3461</w:t>
            </w:r>
          </w:p>
        </w:tc>
      </w:tr>
    </w:tbl>
    <w:p>
      <w:pPr>
        <w:pStyle w:val="BodyTextIndent"/>
        <w:widowControl/>
        <w:ind w:start="0" w:end="0"/>
        <w:jc w:val="center"/>
        <w:rPr>
          <w:b/>
        </w:rPr>
      </w:pPr>
      <w:r>
        <w:rPr>
          <w:b/>
        </w:rPr>
      </w:r>
    </w:p>
    <w:p>
      <w:pPr>
        <w:pStyle w:val="BodyTextIndent"/>
        <w:widowControl/>
        <w:ind w:start="0" w:end="0"/>
        <w:jc w:val="end"/>
        <w:rPr>
          <w:b/>
        </w:rPr>
      </w:pPr>
      <w:r>
        <w:rPr>
          <w:b/>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/mnt/main-storage/datasets/enron-docs/doc/CSA_Bisti_Amd__ECC_6.doc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abstractNum w:abstractNumId="3">
    <w:lvl w:ilvl="0">
      <w:start w:val="10"/>
      <w:numFmt w:val="decimal"/>
      <w:lvlText w:val="%1."/>
      <w:lvlJc w:val="start"/>
      <w:pPr>
        <w:tabs>
          <w:tab w:val="num" w:pos="360"/>
        </w:tabs>
        <w:ind w:start="360" w:hanging="360"/>
      </w:pPr>
      <w:rPr/>
    </w:lvl>
  </w:abstractNum>
  <w:abstractNum w:abstractNumId="4">
    <w:lvl w:ilvl="0">
      <w:start w:val="3"/>
      <w:numFmt w:val="decimal"/>
      <w:lvlText w:val="%1."/>
      <w:lvlJc w:val="start"/>
      <w:pPr>
        <w:tabs>
          <w:tab w:val="num" w:pos="360"/>
        </w:tabs>
        <w:ind w:start="360" w:hanging="360"/>
      </w:pPr>
      <w:rPr/>
    </w:lvl>
  </w:abstractNum>
  <w:abstractNum w:abstractNumId="5">
    <w:lvl w:ilvl="0">
      <w:start w:val="7"/>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1999-06-30T10:22:00Z</dcterms:created>
  <dc:creator>gnemec</dc:creator>
  <dc:description/>
  <dc:language>en-CA</dc:language>
  <cp:lastModifiedBy>gnemec</cp:lastModifiedBy>
  <cp:lastPrinted>1999-06-29T20:50:00Z</cp:lastPrinted>
  <dcterms:modified xsi:type="dcterms:W3CDTF">1999-06-30T10:22:00Z</dcterms:modified>
  <cp:revision>2</cp:revision>
  <dc:subject/>
  <dc:title>AMENDMENT</dc:title>
</cp:coreProperties>
</file>