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bCs/>
          <w:sz w:val="24"/>
        </w:rPr>
        <w:t>OGS Pipeline L.L.C.</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9,200 Btu/Hp-hr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Electrical Drive System, provided by ECS to be installed at the OGS Hinkle Compressor Station located off County Road 2132 in Rusk County, Texas.</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"Electrical Drive System" means, collectively, the two (2) electric motors, switchgear, wiring, breakers, across the line motor start system that converts electrical energy into delivered Shaft Energy at the drive shafts and the Point of Delivery of Hp-hrs by ECS at the OGS Hinkle Compressor Station.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the Start Date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Electrical Drive System,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Indent3"/>
        <w:rPr/>
      </w:pPr>
      <w:r>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"Electrical Interconnection Facilities" means all equipment and facilities, including the electrical substation, necessary to deliver electrical energy from the Utility to the Electrical Drive System.</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Load Factor” means the mathematical ratio of the utilized Hp-hour over the contractually available Hp-hour expressed as a percentage.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"OGS Hinkle Compressor Station" means, collectively, (i) the pipeline and mechanical interconnects and other related equipment, including the building enclosure housing the Compressors (but excluding the Compressor skids accepting the electric motor, the Electrical Drive System and the Electrical Interconnection Facilities) and (ii) the physical site location of the property described in the preceding clause (i), which site is owned by Customer and is located on Customer's gathering infrastructure and pipeline facilities located off County Road 2132 in Rusk County, TX..  </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Electrical Drive System and specifically the electric motor is physically connected to the shaft that drives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Electrical Drive System.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OGS Hinkle Compressor Station pursuant to this Agreement (other than Shaft Energy to be delivered during the Test Period and the Pre-Start Date Period as described in Section 3.1 hereof), which date shall be December 1, 2002.</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"Utility Power Agreement" shall mean the electric energy supply agreement to be executed between ECS and the Utility.</w:t>
      </w:r>
    </w:p>
    <w:p>
      <w:pPr>
        <w:pStyle w:val="BodyTextIndent3"/>
        <w:tabs>
          <w:tab w:val="clear" w:pos="720"/>
        </w:tabs>
        <w:rPr/>
      </w:pPr>
      <w:r>
        <w:rPr/>
      </w:r>
    </w:p>
    <w:p>
      <w:pPr>
        <w:pStyle w:val="BodyTextIndent3"/>
        <w:tabs>
          <w:tab w:val="clear" w:pos="720"/>
        </w:tabs>
        <w:rPr/>
      </w:pPr>
      <w:r>
        <w:rPr/>
        <w:t>“</w:t>
      </w:r>
      <w:r>
        <w:rPr>
          <w:color w:val="0000FF"/>
        </w:rPr>
        <w:t>Utility Power Factor” xxxxxxx????????</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and the Pre-Start Date Period) ECS agrees to sell and deliver to Customer the Contract Quantity of Shaft Energy, and Customer agrees to pay ECS for such Contract Quantity of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up to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rPr>
      </w:pPr>
      <w:r>
        <w:rPr>
          <w:rFonts w:cs="Times New Roman" w:ascii="Times New Roman" w:hAnsi="Times New Roman"/>
          <w:sz w:val="24"/>
          <w:u w:val="single"/>
        </w:rPr>
        <w:t>Facility Test Period and Pre-Start Date Service</w:t>
      </w:r>
      <w:r>
        <w:rPr>
          <w:rFonts w:cs="Times New Roman" w:ascii="Times New Roman" w:hAnsi="Times New Roman"/>
          <w:sz w:val="24"/>
        </w:rPr>
        <w:t>.  The parties agree that within 61 days prior to the Start Date, ECS shall have the right to test the Electrical Drive System and associated facilities, located at the OGS Hinkle Electric Compressor Station, up to the Contract Quantity for a reasonable period of testing (the "Test Period") in order to verify operational readiness and integrity of the facilities.  Once ECS verifies operational readiness after the Test Period and prior to the Start Date (the “Pre-Start Date Period).  Customer may request ECS to provide Customer with up to the Contract Quantity of Shaft Energy provided, however, Customer shall pay ECS, in the same manner as Test Period, as provided in Section 3.1.</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upon Customer’s request.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 and Pre-Start Date Period</w:t>
      </w:r>
      <w:r>
        <w:rPr>
          <w:rFonts w:cs="Times New Roman" w:ascii="Times New Roman" w:hAnsi="Times New Roman"/>
          <w:sz w:val="24"/>
        </w:rPr>
        <w:t>. During the Test Period and any applicable Pre-Start Date Period, ECS shall invoice Customer only for actual expenses incurred by ECS to provide up to the Contract Quantity of Shaft Energy during such Periods.  Payment for the Contract Quantity of Shaft Energy delivered during these periods shall be paid pursuant to an invoice for such expenses according to Section 4.1(a).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As compensation for the delivery of up to the Contract Quantity of Shaft Energy to Customer, beginning on Start Date, Customer agrees to pay ECS an Annual Charge in the amount equal to $1,204,000.  The Annual Charge shall be payable in twelve equal monthly installments, in accordance with Section 4.1(b) hereunder. The Annual Charge includes current local, state and federal taxes.  Any additional taxes, as well as any tax increase will be the responsibility of, and be invoiced according to section 4.1(a).</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5"/>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The amount of Shaft Energy actually delivered to Customer each month shall be equal to the product of (A) the amount of kWh consumed by the Compressor Motor during such month, as measured by the Primary Meter times (B) 1.314 hp per kw.</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If ECS is assessed a charge by the Utility for power factor correction and/or required to install additional equipment relating to the Electrical Drive System to ensure a Utility Power Factor of at least 95 percent</w:t>
      </w:r>
      <w:r>
        <w:rPr>
          <w:rFonts w:cs="Times New Roman" w:ascii="Times New Roman" w:hAnsi="Times New Roman"/>
          <w:b/>
          <w:sz w:val="24"/>
        </w:rPr>
        <w:t>,</w:t>
      </w:r>
      <w:r>
        <w:rPr>
          <w:rFonts w:cs="Times New Roman" w:ascii="Times New Roman" w:hAnsi="Times New Roman"/>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 or the invoiced charges submitted for the Test Period and Pre-Start Date Period, as applicable.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such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11.1.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10 years from the Start Date.  The True Up process, however, will continue for a period of up to two months following the expiration of the Term.</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pPr>
      <w:r>
        <w:rPr>
          <w:rFonts w:cs="Times New Roman" w:ascii="Times New Roman" w:hAnsi="Times New Roman"/>
          <w:sz w:val="24"/>
        </w:rPr>
        <w:t>(a)</w:t>
        <w:tab/>
        <w:t xml:space="preserve">the failure by either Customer or ECS to make, when due, any payment required pursuant to this Agreement </w:t>
      </w:r>
      <w:r>
        <w:rPr>
          <w:rFonts w:cs="Times New Roman" w:ascii="Times New Roman" w:hAnsi="Times New Roman"/>
          <w:sz w:val="24"/>
          <w:u w:val="single"/>
        </w:rPr>
        <w:t>(whether in commodity or cash)</w:t>
      </w:r>
      <w:r>
        <w:rPr>
          <w:rFonts w:cs="Times New Roman" w:ascii="Times New Roman" w:hAnsi="Times New Roman"/>
          <w:sz w:val="24"/>
        </w:rPr>
        <w:t xml:space="preserve"> if such failure is not remedied within ten (10) Business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(d)</w:t>
        <w:tab/>
        <w:t>either Customer or ECS (i) makes an assignment or any general arrangement for the benefit of creditors (other than an assignment permitted by Section 11.5),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11.5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 xml:space="preserve">For purposes of this Article 7, the party causing an Event of Default shall be called the "Defaulting Party" and the other party shall be called the "Non-Defaulting Party."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ten (10) Business Days prior written notice to the Defaulting Party, establish a date ("Early Termination") on which this Agreement will terminate early.  Any obligations for damages owed by the Defaulting Party as a result of such early termination and the Non-Defaulting Party’s rights to exercise any other rights available to the Non-Defaulting Party hereunder at law or in equity shall survive such early termination.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7.3.  </w:t>
      </w:r>
      <w:r>
        <w:rPr>
          <w:rFonts w:cs="Times New Roman" w:ascii="Times New Roman" w:hAnsi="Times New Roman"/>
          <w:sz w:val="24"/>
          <w:u w:val="single"/>
        </w:rPr>
        <w:t>ECS’s Rights as a Non-Defaulting Party Upon Early Termination</w:t>
      </w:r>
      <w:r>
        <w:rPr>
          <w:rFonts w:cs="Times New Roman" w:ascii="Times New Roman" w:hAnsi="Times New Roman"/>
          <w:sz w:val="24"/>
        </w:rPr>
        <w:t>.  If Customer is the Defaulting Party, Customer shall be liable to ECS for all damages at law and equity and hereunder, which shall include without limitation the following:</w:t>
      </w:r>
    </w:p>
    <w:p>
      <w:pPr>
        <w:pStyle w:val="Normal"/>
        <w:numPr>
          <w:ilvl w:val="0"/>
          <w:numId w:val="2"/>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all expenses, costs, and losses and obligations arising out of or in connection with ECS’s rights and obligations under the Utility Power Agreement, including without limitation any costs incurred in connection with any early termination therefore or any sale or transfer thereof.</w:t>
      </w:r>
    </w:p>
    <w:p>
      <w:pPr>
        <w:pStyle w:val="Normal"/>
        <w:numPr>
          <w:ilvl w:val="0"/>
          <w:numId w:val="2"/>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the net book value of assets associated with the Utility Facility Agreement and/or the Electrical Interconnection Facilities owned by ECS.</w:t>
      </w:r>
    </w:p>
    <w:p>
      <w:pPr>
        <w:pStyle w:val="Normal"/>
        <w:numPr>
          <w:ilvl w:val="0"/>
          <w:numId w:val="2"/>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 xml:space="preserve">all other fixed amounts due and payable to ECS during the Term of this Agreement, which amounts shall be accelerated on the Early Termination Date </w:t>
      </w:r>
    </w:p>
    <w:p>
      <w:pPr>
        <w:pStyle w:val="Normal"/>
        <w:numPr>
          <w:ilvl w:val="0"/>
          <w:numId w:val="2"/>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all costs, expenses and losses incurred by ECS to unwind the forward sale of natural gas volumes to be delivered by Customer hereunder after the Early Termination Date.</w:t>
      </w:r>
    </w:p>
    <w:p>
      <w:pPr>
        <w:pStyle w:val="Normal"/>
        <w:numPr>
          <w:ilvl w:val="0"/>
          <w:numId w:val="2"/>
        </w:numPr>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 xml:space="preserve">all costs, expenses and losses related to the early termination of any operations and maintenance agreements related to this Agreement.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Indemnification of ECS as Non-Defaulting Party</w:t>
      </w:r>
      <w:r>
        <w:rPr>
          <w:rFonts w:cs="Times New Roman" w:ascii="Times New Roman" w:hAnsi="Times New Roman"/>
          <w:sz w:val="24"/>
        </w:rPr>
        <w:t>.  As a Defaulting Party, Customer shall indemnify and hold ECS harmless for all costs and expenses and claims incurred by ECS under the Utility Power Agreements.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ten (10) Business Days of the Early Termination Date each party shall pay to the other party all amounts payable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tab/>
      </w:r>
      <w:r>
        <w:rPr>
          <w:color w:val="FF0000"/>
        </w:rPr>
        <w:t xml:space="preserve">X.x.  </w:t>
      </w:r>
      <w:r>
        <w:rPr>
          <w:color w:val="FF0000"/>
          <w:u w:val="single"/>
        </w:rPr>
        <w:t>ECS Conveyances and Payments Post Receipt of Termination Payment</w:t>
      </w:r>
      <w:r>
        <w:rPr>
          <w:color w:val="FF0000"/>
        </w:rPr>
        <w:t xml:space="preserve">.  If Customer is the Defaulting Party and an Early Termination is declared by ECS, and if the Customer has paid in accordance with Section 7.5 all amounts payable under this agreement, ECS (i) shall convey on an As-Is basis it’s rights, if any, to the Electrical Interconnection Facilities and to the related transmission line extension and appurtenant facilities, and (ii) shall pay to Customer the costs and expenses (which ECS shall determine in its sole discretion) which ECS has avoided as the result of the occurance of the Early Termination.          </w:t>
      </w:r>
    </w:p>
    <w:p>
      <w:pPr>
        <w:pStyle w:val="Normal"/>
        <w:jc w:val="both"/>
        <w:rPr>
          <w:color w:val="FF0000"/>
        </w:rPr>
      </w:pPr>
      <w:r>
        <w:rPr>
          <w:color w:val="FF0000"/>
        </w:rPr>
      </w:r>
    </w:p>
    <w:p>
      <w:pPr>
        <w:pStyle w:val="Normal"/>
        <w:tabs>
          <w:tab w:val="left" w:pos="720" w:leader="none"/>
        </w:tabs>
        <w:jc w:val="both"/>
        <w:rPr>
          <w:rFonts w:ascii="Times New Roman" w:hAnsi="Times New Roman" w:cs="Times New Roman"/>
          <w:color w:val="FF0000"/>
          <w:sz w:val="24"/>
        </w:rPr>
      </w:pPr>
      <w:r>
        <w:rPr>
          <w:rFonts w:cs="Times New Roman" w:ascii="Times New Roman" w:hAnsi="Times New Roman"/>
          <w:color w:val="FF0000"/>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tab/>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Customer shall grant to ECS without warranty, express or implied, the non-exclusive rights of ingress and egress upon the OGS Hinkle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OGS Hinkle Electric Compressor Station for the sole purpose of maintaining, and operating the Electrical Interconnection Facilities and the Electrical Drive System, respectively.  ECS, and the maintenance provider shall have the right at all times to enter upon the OGS Hinkle Electric Compressor Station for the purpose of maintaining the Electrical Interconnection Facilities and the Electrical Drive System, including, without limitation, performing inspections, maintenance, repairs and replacements, and responding to any emergency conditions, all in accordance herewith.  All such grants shall be made in form acceptable to ECS.  Customer agrees to coordinate and respond to maintenance activities in order to provide for the manipulation of the Customers OGS Hinkle Compressor Station and associated pipeline system beyond the limits of the Electrical Drive system and the associated compressor skids, isolation and blow down valves.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cash or delivery of gas for or the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b/>
          <w:sz w:val="24"/>
        </w:rPr>
        <w:t>Matters concerning Section 3.6</w:t>
      </w:r>
    </w:p>
    <w:p>
      <w:pPr>
        <w:pStyle w:val="Normal"/>
        <w:ind w:start="2160" w:end="0"/>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potential assignees, purchasers,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any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 xml:space="preserve">ENRON COMPRESSION </w:t>
      </w:r>
      <w:r>
        <w:rPr>
          <w:rFonts w:cs="Times New Roman" w:ascii="Times New Roman" w:hAnsi="Times New Roman"/>
          <w:sz w:val="24"/>
        </w:rPr>
        <w:tab/>
        <w:t xml:space="preserve">                 </w:t>
      </w:r>
      <w:r>
        <w:rPr>
          <w:rFonts w:cs="Times New Roman" w:ascii="Times New Roman" w:hAnsi="Times New Roman"/>
          <w:b/>
          <w:bCs/>
          <w:sz w:val="24"/>
        </w:rPr>
        <w:t>OGS Pipeline L.L.C</w:t>
      </w:r>
      <w:r>
        <w:rPr>
          <w:rFonts w:cs="Times New Roman" w:ascii="Times New Roman" w:hAnsi="Times New Roman"/>
          <w:sz w:val="24"/>
        </w:rPr>
        <w:t xml:space="preserve"> </w:t>
      </w:r>
    </w:p>
    <w:p>
      <w:pPr>
        <w:pStyle w:val="Heading5"/>
        <w:ind w:hanging="0" w:start="0"/>
        <w:rPr/>
      </w:pPr>
      <w:r>
        <w:rPr/>
        <w:t xml:space="preserve">        </w:t>
      </w: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WW-BodyText2"/>
        <w:jc w:val="center"/>
        <w:rPr>
          <w:rFonts w:ascii="Times New Roman" w:hAnsi="Times New Roman" w:cs="Times New Roman"/>
          <w:b/>
          <w:sz w:val="24"/>
        </w:rPr>
      </w:pPr>
      <w:r>
        <w:rPr>
          <w:rFonts w:cs="Times New Roman" w:ascii="Times New Roman" w:hAnsi="Times New Roman"/>
          <w:b/>
          <w:sz w:val="24"/>
        </w:rPr>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numPr>
          <w:ilvl w:val="0"/>
          <w:numId w:val="4"/>
        </w:numPr>
        <w:rPr>
          <w:rFonts w:ascii="Times New Roman" w:hAnsi="Times New Roman" w:cs="Times New Roman"/>
        </w:rPr>
      </w:pP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 of delivery from the OGS Pipeline system:</w:t>
      </w:r>
    </w:p>
    <w:p>
      <w:pPr>
        <w:pStyle w:val="WW-BodyText2"/>
        <w:rPr>
          <w:rFonts w:ascii="Times New Roman" w:hAnsi="Times New Roman" w:cs="Times New Roman"/>
        </w:rPr>
      </w:pPr>
      <w:r>
        <w:rPr>
          <w:rFonts w:cs="Times New Roman" w:ascii="Times New Roman" w:hAnsi="Times New Roman"/>
        </w:rPr>
      </w:r>
    </w:p>
    <w:p>
      <w:pPr>
        <w:pStyle w:val="WW-BodyText2"/>
        <w:ind w:hanging="0" w:start="1830" w:end="0"/>
        <w:rPr>
          <w:rFonts w:ascii="Times New Roman" w:hAnsi="Times New Roman" w:cs="Times New Roman"/>
        </w:rPr>
      </w:pPr>
      <w:r>
        <w:rPr>
          <w:rFonts w:cs="Times New Roman" w:ascii="Times New Roman" w:hAnsi="Times New Roman"/>
        </w:rPr>
        <w:t xml:space="preserve">Primary Point/s - </w:t>
        <w:tab/>
        <w:tab/>
        <w:t xml:space="preserve">into TETCO  </w:t>
      </w:r>
    </w:p>
    <w:p>
      <w:pPr>
        <w:pStyle w:val="WW-BodyText2"/>
        <w:rPr>
          <w:rFonts w:ascii="Times New Roman" w:hAnsi="Times New Roman" w:cs="Times New Roman"/>
        </w:rPr>
      </w:pPr>
      <w:r>
        <w:rPr>
          <w:rFonts w:cs="Times New Roman" w:ascii="Times New Roman" w:hAnsi="Times New Roman"/>
        </w:rPr>
        <w:tab/>
        <w:tab/>
      </w:r>
    </w:p>
    <w:p>
      <w:pPr>
        <w:pStyle w:val="WW-BodyText2"/>
        <w:rPr>
          <w:rFonts w:ascii="Times New Roman" w:hAnsi="Times New Roman" w:cs="Times New Roman"/>
        </w:rPr>
      </w:pPr>
      <w:r>
        <w:rPr>
          <w:rFonts w:cs="Times New Roman" w:ascii="Times New Roman" w:hAnsi="Times New Roman"/>
        </w:rPr>
        <w:tab/>
        <w:t xml:space="preserve">       Secondary Point/s - </w:t>
        <w:tab/>
        <w:t>into Koch Gateway</w:t>
      </w:r>
    </w:p>
    <w:p>
      <w:pPr>
        <w:pStyle w:val="WW-BodyText2"/>
        <w:rPr>
          <w:rFonts w:ascii="Times New Roman" w:hAnsi="Times New Roman" w:cs="Times New Roman"/>
        </w:rPr>
      </w:pPr>
      <w:r>
        <w:rPr>
          <w:rFonts w:cs="Times New Roman" w:ascii="Times New Roman" w:hAnsi="Times New Roman"/>
        </w:rPr>
        <w:tab/>
        <w:tab/>
        <w:tab/>
        <w:tab/>
        <w:tab/>
        <w:t>Into Lone Star Gas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ab/>
      </w:r>
    </w:p>
    <w:p>
      <w:pPr>
        <w:pStyle w:val="WW-BodyText2"/>
        <w:rPr>
          <w:rFonts w:ascii="Times New Roman" w:hAnsi="Times New Roman" w:cs="Times New Roman"/>
        </w:rPr>
      </w:pPr>
      <w:r>
        <w:rPr>
          <w:rFonts w:cs="Times New Roman" w:ascii="Times New Roman" w:hAnsi="Times New Roman"/>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rPr>
          <w:rFonts w:ascii="Times New Roman" w:hAnsi="Times New Roman" w:cs="Times New Roman"/>
          <w:b/>
          <w:bCs/>
        </w:rPr>
      </w:pPr>
      <w:r>
        <w:rPr>
          <w:rFonts w:cs="Times New Roman" w:ascii="Times New Roman" w:hAnsi="Times New Roman"/>
          <w:b/>
          <w:bCs/>
        </w:rPr>
        <w:tab/>
        <w:tab/>
        <w:tab/>
        <w:tab/>
        <w:t xml:space="preserve">HP-hour Charge     </w:t>
        <w:tab/>
        <w:tab/>
        <w:tab/>
      </w:r>
    </w:p>
    <w:p>
      <w:pPr>
        <w:pStyle w:val="WW-BodyText2"/>
        <w:jc w:val="center"/>
        <w:rPr>
          <w:rFonts w:ascii="Times New Roman" w:hAnsi="Times New Roman" w:cs="Times New Roman"/>
          <w:b/>
          <w:bCs/>
        </w:rPr>
      </w:pPr>
      <w:r>
        <w:rPr>
          <w:rFonts w:cs="Times New Roman" w:ascii="Times New Roman" w:hAnsi="Times New Roman"/>
          <w:b/>
          <w:bCs/>
        </w:rPr>
      </w:r>
    </w:p>
    <w:p>
      <w:pPr>
        <w:pStyle w:val="WW-BodyText2"/>
        <w:ind w:hanging="0" w:start="2160" w:end="0"/>
        <w:rPr>
          <w:rFonts w:ascii="Times New Roman" w:hAnsi="Times New Roman" w:cs="Times New Roman"/>
          <w:b/>
          <w:bCs/>
          <w:u w:val="single"/>
        </w:rPr>
      </w:pPr>
      <w:r>
        <w:rPr>
          <w:rFonts w:cs="Times New Roman" w:ascii="Times New Roman" w:hAnsi="Times New Roman"/>
          <w:b/>
          <w:bCs/>
          <w:u w:val="single"/>
        </w:rPr>
        <w:t>Month</w:t>
        <w:tab/>
        <w:t>`</w:t>
        <w:tab/>
        <w:t>Load Factor</w:t>
        <w:tab/>
        <w:tab/>
        <w:t>Monthly Nomination</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January</w:t>
        <w:tab/>
        <w:t xml:space="preserve">    95% </w:t>
        <w:tab/>
        <w:tab/>
        <w:t>1,514 MMBtu/day</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February</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March</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April</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June</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July</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August</w:t>
        <w:tab/>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September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October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November</w:t>
        <w:tab/>
        <w:t xml:space="preserve">    95%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December</w:t>
        <w:tab/>
        <w:t xml:space="preserve">    95% </w:t>
        <w:tab/>
        <w:tab/>
        <w:t>1,514 MMBtu/day</w:t>
        <w:tab/>
        <w:tab/>
        <w:tab/>
      </w:r>
    </w:p>
    <w:p>
      <w:pPr>
        <w:pStyle w:val="WW-BodyText2"/>
        <w:tabs>
          <w:tab w:val="clear" w:pos="720"/>
        </w:tabs>
        <w:ind w:hanging="0" w:start="2160" w:end="0"/>
        <w:jc w:val="start"/>
        <w:rPr>
          <w:rFonts w:ascii="Times New Roman" w:hAnsi="Times New Roman" w:cs="Times New Roman"/>
          <w:b/>
          <w:bCs/>
        </w:rPr>
      </w:pPr>
      <w:r>
        <w:rPr>
          <w:rFonts w:cs="Times New Roman" w:ascii="Times New Roman" w:hAnsi="Times New Roman"/>
          <w:b/>
          <w:bCs/>
        </w:rPr>
        <w:tab/>
        <w:tab/>
      </w:r>
    </w:p>
    <w:p>
      <w:pPr>
        <w:pStyle w:val="WW-BodyText2"/>
        <w:jc w:val="start"/>
        <w:rPr>
          <w:rFonts w:ascii="Times New Roman" w:hAnsi="Times New Roman" w:cs="Times New Roman"/>
          <w:b/>
          <w:bCs/>
        </w:rPr>
      </w:pPr>
      <w:r>
        <w:rPr>
          <w:rFonts w:cs="Times New Roman" w:ascii="Times New Roman" w:hAnsi="Times New Roman"/>
          <w:b/>
          <w:bCs/>
        </w:rPr>
        <w:tab/>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CSATemplate6_14_01.doc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CSATemplate6_14_01.doc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CSATemplate6_14_01.doc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CSATemplate6_14_01.doc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6/14/01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abstractNum w:abstractNumId="3">
    <w:lvl w:ilvl="0">
      <w:start w:val="2"/>
      <w:numFmt w:val="decimal"/>
      <w:lvlText w:val="%1."/>
      <w:lvlJc w:val="start"/>
      <w:pPr>
        <w:tabs>
          <w:tab w:val="num" w:pos="1440"/>
        </w:tabs>
        <w:ind w:start="1440" w:hanging="1440"/>
      </w:pPr>
      <w:rPr/>
    </w:lvl>
    <w:lvl w:ilvl="1">
      <w:start w:val="4"/>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1830"/>
        </w:tabs>
        <w:ind w:start="1830" w:hanging="1110"/>
      </w:pPr>
      <w:rPr>
        <w:b/>
      </w:rPr>
    </w:lvl>
  </w:abstractNum>
  <w:abstractNum w:abstractNumId="5">
    <w:lvl w:ilvl="0">
      <w:start w:val="1"/>
      <w:numFmt w:val="lowerLetter"/>
      <w:lvlText w:val="(%1)"/>
      <w:lvlJc w:val="start"/>
      <w:pPr>
        <w:tabs>
          <w:tab w:val="num" w:pos="1350"/>
        </w:tabs>
        <w:ind w:start="135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tabs>
        <w:tab w:val="left" w:pos="720" w:leader="none"/>
      </w:tabs>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paragraph" w:styleId="BodyText3">
    <w:name w:val="Body Text 3"/>
    <w:basedOn w:val="Normal"/>
    <w:qFormat/>
    <w:pPr>
      <w:tabs>
        <w:tab w:val="left" w:pos="720" w:leader="none"/>
      </w:tabs>
      <w:jc w:val="both"/>
    </w:pPr>
    <w:rPr>
      <w:rFonts w:ascii="Times New Roman" w:hAnsi="Times New Roman" w:cs="Times New Roman"/>
      <w:color w:val="FF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2001-06-14T21:06:00Z</dcterms:created>
  <dc:creator>ET&amp;S LAN Support</dc:creator>
  <dc:description/>
  <dc:language>en-CA</dc:language>
  <cp:lastModifiedBy>mknippa</cp:lastModifiedBy>
  <cp:lastPrinted>2001-06-13T16:10:00Z</cp:lastPrinted>
  <dcterms:modified xsi:type="dcterms:W3CDTF">2001-06-14T21:06:00Z</dcterms:modified>
  <cp:revision>3</cp:revision>
  <dc:subject/>
  <dc:title>COMPRESSION SERVICES AGREEMENT</dc:title>
</cp:coreProperties>
</file>