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8"/>
        </w:rPr>
      </w:pPr>
      <w:r>
        <w:rPr>
          <w:b/>
          <w:sz w:val="28"/>
        </w:rPr>
        <w:t>Paragraph 13. Elections and Variables</w:t>
      </w:r>
    </w:p>
    <w:p>
      <w:pPr>
        <w:pStyle w:val="Normal"/>
        <w:jc w:val="both"/>
        <w:rPr>
          <w:b/>
          <w:sz w:val="28"/>
        </w:rPr>
      </w:pPr>
      <w:r>
        <w:rPr>
          <w:b/>
          <w:sz w:val="28"/>
        </w:rPr>
      </w:r>
    </w:p>
    <w:p>
      <w:pPr>
        <w:pStyle w:val="Normal"/>
        <w:jc w:val="both"/>
        <w:rPr/>
      </w:pPr>
      <w:r>
        <w:rPr/>
      </w:r>
    </w:p>
    <w:p>
      <w:pPr>
        <w:pStyle w:val="Normal"/>
        <w:jc w:val="both"/>
        <w:rPr>
          <w:sz w:val="22"/>
        </w:rPr>
      </w:pPr>
      <w:r>
        <w:rPr>
          <w:sz w:val="22"/>
        </w:rPr>
      </w:r>
    </w:p>
    <w:p>
      <w:pPr>
        <w:pStyle w:val="Normal"/>
        <w:jc w:val="both"/>
        <w:rPr>
          <w:b/>
          <w:sz w:val="22"/>
        </w:rPr>
      </w:pPr>
      <w:r>
        <w:rPr>
          <w:b/>
          <w:sz w:val="22"/>
        </w:rPr>
        <w:t>(a) Security Interest for “Obligations”.</w:t>
      </w:r>
    </w:p>
    <w:p>
      <w:pPr>
        <w:pStyle w:val="Normal"/>
        <w:jc w:val="both"/>
        <w:rPr>
          <w:b/>
          <w:sz w:val="22"/>
        </w:rPr>
      </w:pPr>
      <w:r>
        <w:rPr>
          <w:b/>
          <w:sz w:val="22"/>
        </w:rPr>
      </w:r>
    </w:p>
    <w:p>
      <w:pPr>
        <w:pStyle w:val="Normal"/>
        <w:jc w:val="both"/>
        <w:rPr>
          <w:sz w:val="22"/>
        </w:rPr>
      </w:pPr>
      <w:r>
        <w:rPr>
          <w:sz w:val="22"/>
        </w:rPr>
        <w:t>The term “Obligations” as used in this Annex includes the following additional obligations:</w:t>
      </w:r>
    </w:p>
    <w:p>
      <w:pPr>
        <w:pStyle w:val="Normal"/>
        <w:jc w:val="both"/>
        <w:rPr>
          <w:sz w:val="22"/>
        </w:rPr>
      </w:pPr>
      <w:r>
        <w:rPr>
          <w:sz w:val="22"/>
        </w:rPr>
      </w:r>
    </w:p>
    <w:p>
      <w:pPr>
        <w:pStyle w:val="Normal"/>
        <w:jc w:val="both"/>
        <w:rPr>
          <w:sz w:val="22"/>
        </w:rPr>
      </w:pPr>
      <w:r>
        <w:rPr>
          <w:sz w:val="22"/>
        </w:rPr>
        <w:tab/>
        <w:t>With respect to Party A: None</w:t>
      </w:r>
    </w:p>
    <w:p>
      <w:pPr>
        <w:pStyle w:val="Normal"/>
        <w:jc w:val="both"/>
        <w:rPr>
          <w:sz w:val="22"/>
        </w:rPr>
      </w:pPr>
      <w:r>
        <w:rPr>
          <w:sz w:val="22"/>
        </w:rPr>
        <w:tab/>
        <w:t>With respect to Party B: None</w:t>
      </w:r>
    </w:p>
    <w:p>
      <w:pPr>
        <w:pStyle w:val="Normal"/>
        <w:jc w:val="both"/>
        <w:rPr>
          <w:sz w:val="22"/>
        </w:rPr>
      </w:pPr>
      <w:r>
        <w:rPr>
          <w:sz w:val="22"/>
        </w:rPr>
      </w:r>
    </w:p>
    <w:p>
      <w:pPr>
        <w:pStyle w:val="Normal"/>
        <w:jc w:val="both"/>
        <w:rPr>
          <w:b/>
          <w:sz w:val="22"/>
        </w:rPr>
      </w:pPr>
      <w:r>
        <w:rPr>
          <w:b/>
          <w:sz w:val="22"/>
        </w:rPr>
        <w:t>(b) Credit Support Obligations.</w:t>
      </w:r>
    </w:p>
    <w:p>
      <w:pPr>
        <w:pStyle w:val="Normal"/>
        <w:jc w:val="both"/>
        <w:rPr>
          <w:b/>
          <w:sz w:val="22"/>
        </w:rPr>
      </w:pPr>
      <w:r>
        <w:rPr>
          <w:b/>
          <w:sz w:val="22"/>
        </w:rPr>
      </w:r>
    </w:p>
    <w:p>
      <w:pPr>
        <w:pStyle w:val="Normal"/>
        <w:jc w:val="both"/>
        <w:rPr/>
      </w:pPr>
      <w:r>
        <w:rPr>
          <w:sz w:val="22"/>
        </w:rPr>
        <w:t>(b)(i)(A) “</w:t>
      </w:r>
      <w:r>
        <w:rPr>
          <w:b/>
          <w:i/>
          <w:sz w:val="22"/>
        </w:rPr>
        <w:t>Delivery Amount</w:t>
      </w:r>
      <w:r>
        <w:rPr>
          <w:sz w:val="22"/>
        </w:rPr>
        <w:t>” has the meaning specified in Paragraph 3(a).</w:t>
      </w:r>
    </w:p>
    <w:p>
      <w:pPr>
        <w:pStyle w:val="Normal"/>
        <w:jc w:val="both"/>
        <w:rPr/>
      </w:pPr>
      <w:r>
        <w:rPr>
          <w:sz w:val="22"/>
        </w:rPr>
        <w:t>(b)(i)(B) “</w:t>
      </w:r>
      <w:r>
        <w:rPr>
          <w:b/>
          <w:i/>
          <w:sz w:val="22"/>
        </w:rPr>
        <w:t>Return Amount</w:t>
      </w:r>
      <w:r>
        <w:rPr>
          <w:sz w:val="22"/>
        </w:rPr>
        <w:t>” has the meaning specified in Paragraph 3(b).</w:t>
      </w:r>
    </w:p>
    <w:p>
      <w:pPr>
        <w:pStyle w:val="Normal"/>
        <w:jc w:val="both"/>
        <w:rPr/>
      </w:pPr>
      <w:r>
        <w:rPr>
          <w:sz w:val="22"/>
        </w:rPr>
        <w:t>(b)(i)(C) “</w:t>
      </w:r>
      <w:r>
        <w:rPr>
          <w:b/>
          <w:i/>
          <w:sz w:val="22"/>
        </w:rPr>
        <w:t>Credit Support Amount</w:t>
      </w:r>
      <w:r>
        <w:rPr>
          <w:sz w:val="22"/>
        </w:rPr>
        <w:t>” has the meaning specified in Paragraph 3.</w:t>
      </w:r>
    </w:p>
    <w:p>
      <w:pPr>
        <w:pStyle w:val="Normal"/>
        <w:jc w:val="both"/>
        <w:rPr>
          <w:sz w:val="22"/>
        </w:rPr>
      </w:pPr>
      <w:r>
        <w:rPr>
          <w:sz w:val="22"/>
        </w:rPr>
      </w:r>
    </w:p>
    <w:p>
      <w:pPr>
        <w:pStyle w:val="Normal"/>
        <w:jc w:val="both"/>
        <w:rPr/>
      </w:pPr>
      <w:r>
        <w:rPr>
          <w:sz w:val="22"/>
        </w:rPr>
        <w:t xml:space="preserve">(b) (ii) </w:t>
      </w:r>
      <w:r>
        <w:rPr>
          <w:b/>
          <w:sz w:val="22"/>
        </w:rPr>
        <w:t>Eligible Collateral</w:t>
      </w:r>
      <w:r>
        <w:rPr>
          <w:sz w:val="22"/>
        </w:rPr>
        <w:t>. The following item will qualify as “</w:t>
      </w:r>
      <w:r>
        <w:rPr>
          <w:b/>
          <w:i/>
          <w:sz w:val="22"/>
        </w:rPr>
        <w:t>Eligible Collateral</w:t>
      </w:r>
      <w:r>
        <w:rPr>
          <w:sz w:val="22"/>
        </w:rPr>
        <w:t>” for each party:</w:t>
      </w:r>
    </w:p>
    <w:p>
      <w:pPr>
        <w:pStyle w:val="Normal"/>
        <w:jc w:val="both"/>
        <w:rPr>
          <w:sz w:val="22"/>
        </w:rPr>
      </w:pPr>
      <w:r>
        <w:rPr>
          <w:sz w:val="22"/>
        </w:rPr>
      </w:r>
    </w:p>
    <w:tbl>
      <w:tblPr>
        <w:tblW w:w="4253" w:type="dxa"/>
        <w:jc w:val="start"/>
        <w:tblInd w:w="1204" w:type="dxa"/>
        <w:tblLayout w:type="fixed"/>
        <w:tblCellMar>
          <w:top w:w="0" w:type="dxa"/>
          <w:start w:w="70" w:type="dxa"/>
          <w:bottom w:w="0" w:type="dxa"/>
          <w:end w:w="70" w:type="dxa"/>
        </w:tblCellMar>
      </w:tblPr>
      <w:tblGrid>
        <w:gridCol w:w="2410"/>
        <w:gridCol w:w="1843"/>
      </w:tblGrid>
      <w:tr>
        <w:trPr/>
        <w:tc>
          <w:tcPr>
            <w:tcW w:w="2410" w:type="dxa"/>
            <w:tcBorders/>
          </w:tcPr>
          <w:p>
            <w:pPr>
              <w:pStyle w:val="Normal"/>
              <w:snapToGrid w:val="false"/>
              <w:jc w:val="both"/>
              <w:rPr>
                <w:sz w:val="22"/>
              </w:rPr>
            </w:pPr>
            <w:r>
              <w:rPr>
                <w:sz w:val="22"/>
              </w:rPr>
            </w:r>
          </w:p>
        </w:tc>
        <w:tc>
          <w:tcPr>
            <w:tcW w:w="1843" w:type="dxa"/>
            <w:tcBorders>
              <w:top w:val="single" w:sz="6" w:space="0" w:color="000000"/>
              <w:start w:val="single" w:sz="6" w:space="0" w:color="000000"/>
              <w:bottom w:val="single" w:sz="6" w:space="0" w:color="000000"/>
              <w:end w:val="single" w:sz="6" w:space="0" w:color="000000"/>
            </w:tcBorders>
          </w:tcPr>
          <w:p>
            <w:pPr>
              <w:pStyle w:val="Normal"/>
              <w:jc w:val="both"/>
              <w:rPr/>
            </w:pPr>
            <w:r>
              <w:rPr>
                <w:b/>
                <w:i/>
                <w:sz w:val="22"/>
              </w:rPr>
              <w:t>Valuation Percentage</w:t>
            </w:r>
            <w:r>
              <w:rPr>
                <w:sz w:val="22"/>
              </w:rPr>
              <w:t xml:space="preserve"> </w:t>
            </w:r>
          </w:p>
        </w:tc>
      </w:tr>
      <w:tr>
        <w:trPr/>
        <w:tc>
          <w:tcPr>
            <w:tcW w:w="2410" w:type="dxa"/>
            <w:tcBorders>
              <w:top w:val="single" w:sz="6" w:space="0" w:color="000000"/>
              <w:start w:val="single" w:sz="6" w:space="0" w:color="000000"/>
              <w:bottom w:val="single" w:sz="6" w:space="0" w:color="000000"/>
            </w:tcBorders>
          </w:tcPr>
          <w:p>
            <w:pPr>
              <w:pStyle w:val="Normal"/>
              <w:jc w:val="both"/>
              <w:rPr/>
            </w:pPr>
            <w:r>
              <w:rPr>
                <w:b/>
                <w:sz w:val="22"/>
              </w:rPr>
              <w:t>Cash</w:t>
            </w:r>
            <w:r>
              <w:rPr>
                <w:sz w:val="22"/>
              </w:rPr>
              <w:t xml:space="preserve"> ( in the currency of US Dollars )</w:t>
            </w:r>
          </w:p>
        </w:tc>
        <w:tc>
          <w:tcPr>
            <w:tcW w:w="1843"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100%</w:t>
            </w:r>
          </w:p>
        </w:tc>
      </w:tr>
    </w:tbl>
    <w:p>
      <w:pPr>
        <w:pStyle w:val="Normal"/>
        <w:jc w:val="both"/>
        <w:rPr>
          <w:sz w:val="22"/>
        </w:rPr>
      </w:pPr>
      <w:r>
        <w:rPr>
          <w:sz w:val="22"/>
        </w:rPr>
      </w:r>
    </w:p>
    <w:p>
      <w:pPr>
        <w:pStyle w:val="Normal"/>
        <w:jc w:val="both"/>
        <w:rPr/>
      </w:pPr>
      <w:r>
        <w:rPr>
          <w:sz w:val="22"/>
        </w:rPr>
        <w:t xml:space="preserve">(b) (iii) </w:t>
      </w:r>
      <w:r>
        <w:rPr>
          <w:b/>
          <w:sz w:val="22"/>
        </w:rPr>
        <w:t>Other Eligible Support.</w:t>
      </w:r>
      <w:r>
        <w:rPr>
          <w:sz w:val="22"/>
        </w:rPr>
        <w:t xml:space="preserve"> There shall be no “</w:t>
      </w:r>
      <w:r>
        <w:rPr>
          <w:b/>
          <w:i/>
          <w:sz w:val="22"/>
        </w:rPr>
        <w:t>Other Eligible Support</w:t>
      </w:r>
      <w:r>
        <w:rPr>
          <w:sz w:val="22"/>
        </w:rPr>
        <w:t>” for either party.</w:t>
      </w:r>
    </w:p>
    <w:p>
      <w:pPr>
        <w:pStyle w:val="Normal"/>
        <w:jc w:val="both"/>
        <w:rPr>
          <w:sz w:val="22"/>
        </w:rPr>
      </w:pPr>
      <w:r>
        <w:rPr>
          <w:sz w:val="22"/>
        </w:rPr>
      </w:r>
    </w:p>
    <w:p>
      <w:pPr>
        <w:pStyle w:val="Normal"/>
        <w:jc w:val="both"/>
        <w:rPr>
          <w:sz w:val="22"/>
        </w:rPr>
      </w:pPr>
      <w:r>
        <w:rPr>
          <w:sz w:val="22"/>
        </w:rPr>
        <w:t xml:space="preserve">(b) (iv) </w:t>
      </w:r>
      <w:r>
        <w:rPr>
          <w:b/>
          <w:sz w:val="22"/>
        </w:rPr>
        <w:t>Thresholds</w:t>
      </w:r>
    </w:p>
    <w:p>
      <w:pPr>
        <w:pStyle w:val="Normal"/>
        <w:jc w:val="both"/>
        <w:rPr>
          <w:sz w:val="22"/>
        </w:rPr>
      </w:pPr>
      <w:r>
        <w:rPr>
          <w:sz w:val="22"/>
        </w:rPr>
      </w:r>
    </w:p>
    <w:p>
      <w:pPr>
        <w:pStyle w:val="Normal"/>
        <w:jc w:val="both"/>
        <w:rPr/>
      </w:pPr>
      <w:r>
        <w:rPr>
          <w:sz w:val="22"/>
        </w:rPr>
        <w:tab/>
        <w:t>(A) “</w:t>
      </w:r>
      <w:r>
        <w:rPr>
          <w:b/>
          <w:i/>
          <w:sz w:val="22"/>
        </w:rPr>
        <w:t>Independent Amount</w:t>
      </w:r>
      <w:r>
        <w:rPr>
          <w:sz w:val="22"/>
        </w:rPr>
        <w:t>”</w:t>
      </w:r>
      <w:r>
        <w:rPr>
          <w:b/>
          <w:sz w:val="22"/>
        </w:rPr>
        <w:t>.</w:t>
      </w:r>
      <w:r>
        <w:rPr>
          <w:sz w:val="22"/>
        </w:rPr>
        <w:t xml:space="preserve"> means with respect to Party A: zero.</w:t>
      </w:r>
    </w:p>
    <w:p>
      <w:pPr>
        <w:pStyle w:val="Normal"/>
        <w:jc w:val="both"/>
        <w:rPr/>
      </w:pPr>
      <w:r>
        <w:rPr>
          <w:sz w:val="22"/>
        </w:rPr>
        <w:tab/>
        <w:t xml:space="preserve">      “</w:t>
      </w:r>
      <w:r>
        <w:rPr>
          <w:b/>
          <w:i/>
          <w:sz w:val="22"/>
        </w:rPr>
        <w:t>Independent Amount</w:t>
      </w:r>
      <w:r>
        <w:rPr>
          <w:sz w:val="22"/>
        </w:rPr>
        <w:t>” means with respect to Party B: zero.</w:t>
      </w:r>
    </w:p>
    <w:p>
      <w:pPr>
        <w:pStyle w:val="Normal"/>
        <w:jc w:val="both"/>
        <w:rPr>
          <w:sz w:val="22"/>
        </w:rPr>
      </w:pPr>
      <w:r>
        <w:rPr>
          <w:sz w:val="22"/>
        </w:rPr>
      </w:r>
    </w:p>
    <w:p>
      <w:pPr>
        <w:pStyle w:val="Normal"/>
        <w:jc w:val="both"/>
        <w:rPr/>
      </w:pPr>
      <w:r>
        <w:rPr>
          <w:sz w:val="22"/>
        </w:rPr>
        <w:tab/>
        <w:t>(B) “</w:t>
      </w:r>
      <w:r>
        <w:rPr>
          <w:b/>
          <w:i/>
          <w:sz w:val="22"/>
        </w:rPr>
        <w:t>Threshold</w:t>
      </w:r>
      <w:r>
        <w:rPr>
          <w:sz w:val="22"/>
        </w:rPr>
        <w:t>” means with respect to Party A: US$ .....................</w:t>
      </w:r>
    </w:p>
    <w:p>
      <w:pPr>
        <w:pStyle w:val="Normal"/>
        <w:jc w:val="both"/>
        <w:rPr/>
      </w:pPr>
      <w:r>
        <w:rPr>
          <w:sz w:val="22"/>
        </w:rPr>
        <w:tab/>
        <w:t xml:space="preserve">      “</w:t>
      </w:r>
      <w:r>
        <w:rPr>
          <w:b/>
          <w:i/>
          <w:sz w:val="22"/>
        </w:rPr>
        <w:t>Threshold</w:t>
      </w:r>
      <w:r>
        <w:rPr>
          <w:sz w:val="22"/>
        </w:rPr>
        <w:t>” means with respect to Party B: US$ ......................</w:t>
      </w:r>
    </w:p>
    <w:p>
      <w:pPr>
        <w:pStyle w:val="Normal"/>
        <w:jc w:val="both"/>
        <w:rPr>
          <w:sz w:val="22"/>
        </w:rPr>
      </w:pPr>
      <w:r>
        <w:rPr>
          <w:sz w:val="22"/>
        </w:rPr>
      </w:r>
    </w:p>
    <w:p>
      <w:pPr>
        <w:pStyle w:val="Normal"/>
        <w:jc w:val="both"/>
        <w:rPr/>
      </w:pPr>
      <w:r>
        <w:rPr>
          <w:sz w:val="22"/>
        </w:rPr>
        <w:tab/>
        <w:t>(C) “</w:t>
      </w:r>
      <w:r>
        <w:rPr>
          <w:b/>
          <w:i/>
          <w:sz w:val="22"/>
        </w:rPr>
        <w:t>Minimum Transfer Amount</w:t>
      </w:r>
      <w:r>
        <w:rPr>
          <w:sz w:val="22"/>
        </w:rPr>
        <w:t>” means with respect to Party A: zero</w:t>
      </w:r>
    </w:p>
    <w:p>
      <w:pPr>
        <w:pStyle w:val="Normal"/>
        <w:jc w:val="both"/>
        <w:rPr/>
      </w:pPr>
      <w:r>
        <w:rPr>
          <w:sz w:val="22"/>
        </w:rPr>
        <w:tab/>
        <w:t xml:space="preserve">      “</w:t>
      </w:r>
      <w:r>
        <w:rPr>
          <w:b/>
          <w:i/>
          <w:sz w:val="22"/>
        </w:rPr>
        <w:t>Minimum Transfer Amount</w:t>
      </w:r>
      <w:r>
        <w:rPr>
          <w:sz w:val="22"/>
        </w:rPr>
        <w:t>” means with respect to Party B: zero</w:t>
      </w:r>
    </w:p>
    <w:p>
      <w:pPr>
        <w:pStyle w:val="Normal"/>
        <w:jc w:val="both"/>
        <w:rPr>
          <w:sz w:val="22"/>
        </w:rPr>
      </w:pPr>
      <w:r>
        <w:rPr>
          <w:sz w:val="22"/>
        </w:rPr>
      </w:r>
    </w:p>
    <w:p>
      <w:pPr>
        <w:pStyle w:val="Normal"/>
        <w:ind w:hanging="709" w:start="709" w:end="0"/>
        <w:jc w:val="both"/>
        <w:rPr/>
      </w:pPr>
      <w:r>
        <w:rPr>
          <w:sz w:val="22"/>
        </w:rPr>
        <w:tab/>
        <w:t xml:space="preserve">(D) </w:t>
      </w:r>
      <w:r>
        <w:rPr>
          <w:b/>
          <w:i/>
          <w:sz w:val="22"/>
        </w:rPr>
        <w:t>Rounding</w:t>
      </w:r>
      <w:r>
        <w:rPr>
          <w:sz w:val="22"/>
        </w:rPr>
        <w:t>. The Delivery Amount and the Return Amount will be rounded up and down, respectively, to the nearest integral multiple of US$ 1,000,000.</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 Valuation and Timing</w:t>
      </w:r>
    </w:p>
    <w:p>
      <w:pPr>
        <w:pStyle w:val="Normal"/>
        <w:jc w:val="both"/>
        <w:rPr>
          <w:b/>
          <w:sz w:val="22"/>
        </w:rPr>
      </w:pPr>
      <w:r>
        <w:rPr>
          <w:b/>
          <w:sz w:val="22"/>
        </w:rPr>
      </w:r>
    </w:p>
    <w:p>
      <w:pPr>
        <w:pStyle w:val="Normal"/>
        <w:ind w:start="709" w:end="0"/>
        <w:jc w:val="both"/>
        <w:rPr/>
      </w:pPr>
      <w:r>
        <w:rPr>
          <w:sz w:val="22"/>
        </w:rPr>
        <w:t>(i) “</w:t>
      </w:r>
      <w:r>
        <w:rPr>
          <w:b/>
          <w:i/>
          <w:sz w:val="22"/>
        </w:rPr>
        <w:t>Valuation Agent</w:t>
      </w:r>
      <w:r>
        <w:rPr>
          <w:sz w:val="22"/>
        </w:rPr>
        <w:t>”</w:t>
      </w:r>
      <w:r>
        <w:rPr>
          <w:b/>
          <w:sz w:val="22"/>
        </w:rPr>
        <w:t>.</w:t>
      </w:r>
      <w:r>
        <w:rPr>
          <w:sz w:val="22"/>
        </w:rPr>
        <w:t xml:space="preserve"> means Party A.</w:t>
      </w:r>
    </w:p>
    <w:p>
      <w:pPr>
        <w:pStyle w:val="Normal"/>
        <w:ind w:start="709" w:end="0"/>
        <w:jc w:val="both"/>
        <w:rPr/>
      </w:pPr>
      <w:r>
        <w:rPr>
          <w:sz w:val="22"/>
        </w:rPr>
        <w:t>(ii) “</w:t>
      </w:r>
      <w:r>
        <w:rPr>
          <w:b/>
          <w:i/>
          <w:sz w:val="22"/>
        </w:rPr>
        <w:t>Valuation Date</w:t>
      </w:r>
      <w:r>
        <w:rPr>
          <w:sz w:val="22"/>
        </w:rPr>
        <w:t>” means any Local Business Day.</w:t>
      </w:r>
    </w:p>
    <w:p>
      <w:pPr>
        <w:pStyle w:val="Normal"/>
        <w:ind w:start="709" w:end="0"/>
        <w:jc w:val="both"/>
        <w:rPr/>
      </w:pPr>
      <w:r>
        <w:rPr>
          <w:sz w:val="22"/>
        </w:rPr>
        <w:t>(iii) “</w:t>
      </w:r>
      <w:r>
        <w:rPr>
          <w:b/>
          <w:i/>
          <w:sz w:val="22"/>
        </w:rPr>
        <w:t>Valuation Time</w:t>
      </w:r>
      <w:r>
        <w:rPr>
          <w:sz w:val="22"/>
        </w:rPr>
        <w:t>” means the close of business on the Valuation Date or date of calculation (for purpose of Paragraph 6(d)), as applicable.</w:t>
      </w:r>
    </w:p>
    <w:p>
      <w:pPr>
        <w:pStyle w:val="Normal"/>
        <w:ind w:start="709" w:end="0"/>
        <w:jc w:val="both"/>
        <w:rPr/>
      </w:pPr>
      <w:r>
        <w:rPr>
          <w:sz w:val="22"/>
        </w:rPr>
        <w:t>(iv) “</w:t>
      </w:r>
      <w:r>
        <w:rPr>
          <w:b/>
          <w:i/>
          <w:sz w:val="22"/>
        </w:rPr>
        <w:t>Notification Time</w:t>
      </w:r>
      <w:r>
        <w:rPr>
          <w:sz w:val="22"/>
        </w:rPr>
        <w:t>” means 10.00 a.m., New York time, on the Local Business Day following the Valuation Date.</w:t>
      </w:r>
    </w:p>
    <w:p>
      <w:pPr>
        <w:pStyle w:val="Normal"/>
        <w:ind w:start="709" w:end="0"/>
        <w:jc w:val="both"/>
        <w:rPr/>
      </w:pPr>
      <w:r>
        <w:rPr>
          <w:sz w:val="22"/>
        </w:rPr>
        <w:t xml:space="preserve">(v) </w:t>
      </w:r>
      <w:r>
        <w:rPr>
          <w:b/>
          <w:i/>
          <w:sz w:val="22"/>
        </w:rPr>
        <w:t>Transfer Timing</w:t>
      </w:r>
      <w:r>
        <w:rPr>
          <w:sz w:val="22"/>
        </w:rPr>
        <w:t>. Paragraph 4 (b) shall be replaced by the following: “Subject to Paragraphs 4(a) and 5, if a demand for the Transfer of Eligible Credit Support or Posted Credit Support is made by the Notification Time, the relevant Transfer will be made not later than the close of business on the same Local Business Day; if a demand is made after the Notification Time, then the relevant Transfer will be made not later than the close of business on the following Local Business Day.”</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(d) Conditions Precedent and Parties’ Rights and Remedies.</w:t>
      </w:r>
    </w:p>
    <w:p>
      <w:pPr>
        <w:pStyle w:val="Normal"/>
        <w:jc w:val="both"/>
        <w:rPr>
          <w:b/>
          <w:sz w:val="22"/>
        </w:rPr>
      </w:pPr>
      <w:r>
        <w:rPr>
          <w:b/>
          <w:sz w:val="22"/>
        </w:rPr>
      </w:r>
    </w:p>
    <w:p>
      <w:pPr>
        <w:pStyle w:val="Normal"/>
        <w:ind w:start="709" w:end="0"/>
        <w:jc w:val="both"/>
        <w:rPr/>
      </w:pPr>
      <w:r>
        <w:rPr>
          <w:sz w:val="22"/>
        </w:rPr>
        <w:t>(i) For the purposes of Paragraph 4 (a) the following events will each be a “</w:t>
      </w:r>
      <w:r>
        <w:rPr>
          <w:b/>
          <w:i/>
          <w:sz w:val="22"/>
        </w:rPr>
        <w:t>Specified Condition</w:t>
      </w:r>
      <w:r>
        <w:rPr>
          <w:sz w:val="22"/>
        </w:rPr>
        <w:t>” for the party specified (that party being the Affected Party if the event occurs with respect to that party):</w:t>
      </w:r>
    </w:p>
    <w:p>
      <w:pPr>
        <w:pStyle w:val="Normal"/>
        <w:ind w:start="709" w:end="0"/>
        <w:jc w:val="both"/>
        <w:rPr>
          <w:b/>
          <w:sz w:val="22"/>
        </w:rPr>
      </w:pPr>
      <w:r>
        <w:rPr>
          <w:b/>
          <w:sz w:val="22"/>
        </w:rPr>
      </w:r>
    </w:p>
    <w:tbl>
      <w:tblPr>
        <w:tblW w:w="7656" w:type="dxa"/>
        <w:jc w:val="start"/>
        <w:tblInd w:w="212" w:type="dxa"/>
        <w:tblLayout w:type="fixed"/>
        <w:tblCellMar>
          <w:top w:w="0" w:type="dxa"/>
          <w:start w:w="70" w:type="dxa"/>
          <w:bottom w:w="0" w:type="dxa"/>
          <w:end w:w="70" w:type="dxa"/>
        </w:tblCellMar>
      </w:tblPr>
      <w:tblGrid>
        <w:gridCol w:w="3686"/>
        <w:gridCol w:w="2028"/>
        <w:gridCol w:w="1942"/>
      </w:tblGrid>
      <w:tr>
        <w:trPr/>
        <w:tc>
          <w:tcPr>
            <w:tcW w:w="3686" w:type="dxa"/>
            <w:tcBorders/>
          </w:tcPr>
          <w:p>
            <w:pPr>
              <w:pStyle w:val="Normal"/>
              <w:snapToGrid w:val="false"/>
              <w:ind w:start="709" w:end="0"/>
              <w:jc w:val="both"/>
              <w:rPr>
                <w:sz w:val="22"/>
              </w:rPr>
            </w:pPr>
            <w:r>
              <w:rPr>
                <w:sz w:val="22"/>
              </w:rPr>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Party A</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Party B</w:t>
            </w:r>
          </w:p>
        </w:tc>
      </w:tr>
      <w:tr>
        <w:trPr/>
        <w:tc>
          <w:tcPr>
            <w:tcW w:w="3686" w:type="dxa"/>
            <w:tcBorders>
              <w:top w:val="single" w:sz="6" w:space="0" w:color="000000"/>
              <w:start w:val="single" w:sz="6" w:space="0" w:color="000000"/>
              <w:bottom w:val="single" w:sz="6" w:space="0" w:color="000000"/>
            </w:tcBorders>
          </w:tcPr>
          <w:p>
            <w:pPr>
              <w:pStyle w:val="Normal"/>
              <w:ind w:start="709" w:end="0"/>
              <w:jc w:val="both"/>
              <w:rPr>
                <w:sz w:val="22"/>
              </w:rPr>
            </w:pPr>
            <w:r>
              <w:rPr>
                <w:sz w:val="22"/>
              </w:rPr>
              <w:t>Credit Event Upon Merger</w:t>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r>
      <w:tr>
        <w:trPr/>
        <w:tc>
          <w:tcPr>
            <w:tcW w:w="3686" w:type="dxa"/>
            <w:tcBorders>
              <w:top w:val="single" w:sz="6" w:space="0" w:color="000000"/>
              <w:start w:val="single" w:sz="6" w:space="0" w:color="000000"/>
              <w:bottom w:val="single" w:sz="6" w:space="0" w:color="000000"/>
            </w:tcBorders>
          </w:tcPr>
          <w:p>
            <w:pPr>
              <w:pStyle w:val="Normal"/>
              <w:ind w:start="709" w:end="0"/>
              <w:jc w:val="both"/>
              <w:rPr>
                <w:sz w:val="22"/>
              </w:rPr>
            </w:pPr>
            <w:r>
              <w:rPr>
                <w:sz w:val="22"/>
              </w:rPr>
              <w:t>Tax Event Upon Merger</w:t>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r>
    </w:tbl>
    <w:p>
      <w:pPr>
        <w:pStyle w:val="Normal"/>
        <w:ind w:start="709" w:end="0"/>
        <w:jc w:val="both"/>
        <w:rPr>
          <w:sz w:val="22"/>
        </w:rPr>
      </w:pPr>
      <w:r>
        <w:rPr>
          <w:sz w:val="22"/>
        </w:rPr>
      </w:r>
    </w:p>
    <w:p>
      <w:pPr>
        <w:pStyle w:val="Normal"/>
        <w:ind w:start="709" w:end="0"/>
        <w:jc w:val="both"/>
        <w:rPr>
          <w:sz w:val="22"/>
        </w:rPr>
      </w:pPr>
      <w:r>
        <w:rPr>
          <w:sz w:val="22"/>
        </w:rPr>
      </w:r>
    </w:p>
    <w:p>
      <w:pPr>
        <w:pStyle w:val="Normal"/>
        <w:ind w:start="709" w:end="0"/>
        <w:jc w:val="both"/>
        <w:rPr/>
      </w:pPr>
      <w:r>
        <w:rPr>
          <w:sz w:val="22"/>
        </w:rPr>
        <w:t>(ii) For the purposes of Paragraph 8(a) and 8 (b), the following events will each be a “</w:t>
      </w:r>
      <w:r>
        <w:rPr>
          <w:b/>
          <w:i/>
          <w:sz w:val="22"/>
        </w:rPr>
        <w:t>Specified Condition</w:t>
      </w:r>
      <w:r>
        <w:rPr>
          <w:sz w:val="22"/>
        </w:rPr>
        <w:t>” for the party specified:</w:t>
      </w:r>
    </w:p>
    <w:p>
      <w:pPr>
        <w:pStyle w:val="Normal"/>
        <w:ind w:start="709" w:end="0"/>
        <w:jc w:val="both"/>
        <w:rPr>
          <w:sz w:val="22"/>
        </w:rPr>
      </w:pPr>
      <w:r>
        <w:rPr>
          <w:sz w:val="22"/>
        </w:rPr>
      </w:r>
    </w:p>
    <w:tbl>
      <w:tblPr>
        <w:tblW w:w="7656" w:type="dxa"/>
        <w:jc w:val="start"/>
        <w:tblInd w:w="212" w:type="dxa"/>
        <w:tblLayout w:type="fixed"/>
        <w:tblCellMar>
          <w:top w:w="0" w:type="dxa"/>
          <w:start w:w="70" w:type="dxa"/>
          <w:bottom w:w="0" w:type="dxa"/>
          <w:end w:w="70" w:type="dxa"/>
        </w:tblCellMar>
      </w:tblPr>
      <w:tblGrid>
        <w:gridCol w:w="3686"/>
        <w:gridCol w:w="2028"/>
        <w:gridCol w:w="1942"/>
      </w:tblGrid>
      <w:tr>
        <w:trPr/>
        <w:tc>
          <w:tcPr>
            <w:tcW w:w="3686" w:type="dxa"/>
            <w:tcBorders/>
          </w:tcPr>
          <w:p>
            <w:pPr>
              <w:pStyle w:val="Normal"/>
              <w:snapToGrid w:val="false"/>
              <w:ind w:start="709" w:end="0"/>
              <w:jc w:val="both"/>
              <w:rPr>
                <w:sz w:val="22"/>
              </w:rPr>
            </w:pPr>
            <w:r>
              <w:rPr>
                <w:sz w:val="22"/>
              </w:rPr>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Party A</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Party B</w:t>
            </w:r>
          </w:p>
        </w:tc>
      </w:tr>
      <w:tr>
        <w:trPr/>
        <w:tc>
          <w:tcPr>
            <w:tcW w:w="3686" w:type="dxa"/>
            <w:tcBorders>
              <w:top w:val="single" w:sz="6" w:space="0" w:color="000000"/>
              <w:start w:val="single" w:sz="6" w:space="0" w:color="000000"/>
              <w:bottom w:val="single" w:sz="6" w:space="0" w:color="000000"/>
            </w:tcBorders>
          </w:tcPr>
          <w:p>
            <w:pPr>
              <w:pStyle w:val="Normal"/>
              <w:ind w:start="709" w:end="0"/>
              <w:jc w:val="both"/>
              <w:rPr>
                <w:sz w:val="22"/>
              </w:rPr>
            </w:pPr>
            <w:r>
              <w:rPr>
                <w:sz w:val="22"/>
              </w:rPr>
              <w:t>Credit Event Upon Merger</w:t>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r>
      <w:tr>
        <w:trPr/>
        <w:tc>
          <w:tcPr>
            <w:tcW w:w="3686" w:type="dxa"/>
            <w:tcBorders>
              <w:top w:val="single" w:sz="6" w:space="0" w:color="000000"/>
              <w:start w:val="single" w:sz="6" w:space="0" w:color="000000"/>
              <w:bottom w:val="single" w:sz="6" w:space="0" w:color="000000"/>
            </w:tcBorders>
          </w:tcPr>
          <w:p>
            <w:pPr>
              <w:pStyle w:val="Normal"/>
              <w:ind w:start="709" w:end="0"/>
              <w:jc w:val="both"/>
              <w:rPr>
                <w:sz w:val="22"/>
              </w:rPr>
            </w:pPr>
            <w:r>
              <w:rPr>
                <w:sz w:val="22"/>
              </w:rPr>
              <w:t>Tax Event Upon Merger</w:t>
            </w:r>
          </w:p>
        </w:tc>
        <w:tc>
          <w:tcPr>
            <w:tcW w:w="2028"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c>
          <w:tcPr>
            <w:tcW w:w="1942" w:type="dxa"/>
            <w:tcBorders>
              <w:top w:val="single" w:sz="6" w:space="0" w:color="000000"/>
              <w:start w:val="single" w:sz="6" w:space="0" w:color="000000"/>
              <w:bottom w:val="single" w:sz="6" w:space="0" w:color="000000"/>
              <w:end w:val="single" w:sz="6" w:space="0" w:color="000000"/>
            </w:tcBorders>
          </w:tcPr>
          <w:p>
            <w:pPr>
              <w:pStyle w:val="Normal"/>
              <w:ind w:start="709" w:end="0"/>
              <w:jc w:val="both"/>
              <w:rPr>
                <w:sz w:val="22"/>
              </w:rPr>
            </w:pPr>
            <w:r>
              <w:rPr>
                <w:sz w:val="22"/>
              </w:rPr>
              <w:t>x</w:t>
            </w:r>
          </w:p>
        </w:tc>
      </w:tr>
    </w:tbl>
    <w:p>
      <w:pPr>
        <w:pStyle w:val="Normal"/>
        <w:ind w:start="709" w:end="0"/>
        <w:jc w:val="both"/>
        <w:rPr>
          <w:sz w:val="22"/>
        </w:rPr>
      </w:pPr>
      <w:r>
        <w:rPr>
          <w:sz w:val="22"/>
        </w:rPr>
      </w:r>
    </w:p>
    <w:p>
      <w:pPr>
        <w:pStyle w:val="Normal"/>
        <w:ind w:start="709" w:end="0"/>
        <w:jc w:val="both"/>
        <w:rPr>
          <w:sz w:val="22"/>
        </w:rPr>
      </w:pPr>
      <w:r>
        <w:rPr>
          <w:sz w:val="22"/>
        </w:rPr>
        <w:t>(iii) Paragraph 8(a) is hereby amended by adding a new remedy as point (v), as follows: “(v) the right to reduce the Threshold to zero, and to request to Pledgor the respective Collateral corresponding to the amount thereof.”</w:t>
      </w:r>
    </w:p>
    <w:p>
      <w:pPr>
        <w:pStyle w:val="Normal"/>
        <w:jc w:val="both"/>
        <w:rPr>
          <w:sz w:val="22"/>
        </w:rPr>
      </w:pPr>
      <w:r>
        <w:rPr>
          <w:sz w:val="22"/>
        </w:rPr>
      </w:r>
    </w:p>
    <w:p>
      <w:pPr>
        <w:pStyle w:val="Normal"/>
        <w:jc w:val="both"/>
        <w:rPr>
          <w:b/>
          <w:sz w:val="22"/>
        </w:rPr>
      </w:pPr>
      <w:r>
        <w:rPr>
          <w:b/>
          <w:sz w:val="22"/>
        </w:rPr>
        <w:t>(e) Substitution</w:t>
      </w:r>
    </w:p>
    <w:p>
      <w:pPr>
        <w:pStyle w:val="Normal"/>
        <w:jc w:val="both"/>
        <w:rPr>
          <w:b/>
          <w:sz w:val="22"/>
        </w:rPr>
      </w:pPr>
      <w:r>
        <w:rPr>
          <w:b/>
          <w:sz w:val="22"/>
        </w:rPr>
      </w:r>
    </w:p>
    <w:p>
      <w:pPr>
        <w:pStyle w:val="Normal"/>
        <w:ind w:start="851" w:end="0"/>
        <w:jc w:val="both"/>
        <w:rPr>
          <w:sz w:val="22"/>
        </w:rPr>
      </w:pPr>
      <w:r>
        <w:rPr>
          <w:sz w:val="22"/>
        </w:rPr>
        <w:t>Paragraph 4(d) will not apply.</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(f) Dispute Resolution.</w:t>
      </w:r>
    </w:p>
    <w:p>
      <w:pPr>
        <w:pStyle w:val="Normal"/>
        <w:jc w:val="both"/>
        <w:rPr>
          <w:b/>
          <w:sz w:val="22"/>
        </w:rPr>
      </w:pPr>
      <w:r>
        <w:rPr>
          <w:b/>
          <w:sz w:val="22"/>
        </w:rPr>
      </w:r>
    </w:p>
    <w:p>
      <w:pPr>
        <w:pStyle w:val="Normal"/>
        <w:ind w:start="851" w:end="0"/>
        <w:jc w:val="both"/>
        <w:rPr/>
      </w:pPr>
      <w:r>
        <w:rPr>
          <w:sz w:val="22"/>
        </w:rPr>
        <w:t>(i) “</w:t>
      </w:r>
      <w:r>
        <w:rPr>
          <w:b/>
          <w:sz w:val="22"/>
        </w:rPr>
        <w:t>Resolution Time</w:t>
      </w:r>
      <w:r>
        <w:rPr>
          <w:sz w:val="22"/>
        </w:rPr>
        <w:t>” means 4:00 p.m. New York time on the Local Business Day following the date on which the notice of the dispute is given under Paragraph 5.</w:t>
      </w:r>
    </w:p>
    <w:p>
      <w:pPr>
        <w:pStyle w:val="Normal"/>
        <w:ind w:start="851" w:end="0"/>
        <w:jc w:val="both"/>
        <w:rPr>
          <w:sz w:val="22"/>
        </w:rPr>
      </w:pPr>
      <w:r>
        <w:rPr>
          <w:sz w:val="22"/>
        </w:rPr>
      </w:r>
    </w:p>
    <w:p>
      <w:pPr>
        <w:pStyle w:val="Normal"/>
        <w:ind w:start="851" w:end="0"/>
        <w:jc w:val="both"/>
        <w:rPr/>
      </w:pPr>
      <w:r>
        <w:rPr>
          <w:sz w:val="22"/>
        </w:rPr>
        <w:t xml:space="preserve">(ii) </w:t>
      </w:r>
      <w:r>
        <w:rPr>
          <w:b/>
          <w:sz w:val="22"/>
        </w:rPr>
        <w:t xml:space="preserve">Value. </w:t>
      </w:r>
      <w:r>
        <w:rPr>
          <w:sz w:val="22"/>
        </w:rPr>
        <w:t>For the purpose of Paragraphs 5(i)(C) and 5(ii), the Value of Eligible Collateral and Posted Collateral will be the amount thereof.</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(g) Holding and Using Posted Collateral.</w:t>
      </w:r>
    </w:p>
    <w:p>
      <w:pPr>
        <w:pStyle w:val="Normal"/>
        <w:jc w:val="both"/>
        <w:rPr>
          <w:b/>
          <w:sz w:val="22"/>
        </w:rPr>
      </w:pPr>
      <w:r>
        <w:rPr>
          <w:b/>
          <w:sz w:val="22"/>
        </w:rPr>
      </w:r>
    </w:p>
    <w:p>
      <w:pPr>
        <w:pStyle w:val="Normal"/>
        <w:ind w:start="851" w:end="0"/>
        <w:jc w:val="both"/>
        <w:rPr>
          <w:sz w:val="22"/>
        </w:rPr>
      </w:pPr>
      <w:r>
        <w:rPr>
          <w:sz w:val="22"/>
        </w:rPr>
        <w:t xml:space="preserve">(i) </w:t>
      </w:r>
      <w:r>
        <w:rPr>
          <w:b/>
          <w:i/>
          <w:sz w:val="22"/>
        </w:rPr>
        <w:t>Eligibility to Hold Posted Collateral; Custodians</w:t>
      </w:r>
      <w:r>
        <w:rPr>
          <w:i/>
          <w:sz w:val="22"/>
        </w:rPr>
        <w:t>.</w:t>
      </w:r>
    </w:p>
    <w:p>
      <w:pPr>
        <w:pStyle w:val="Normal"/>
        <w:ind w:start="851" w:end="0"/>
        <w:jc w:val="both"/>
        <w:rPr>
          <w:sz w:val="22"/>
        </w:rPr>
      </w:pPr>
      <w:r>
        <w:rPr>
          <w:sz w:val="22"/>
        </w:rPr>
      </w:r>
    </w:p>
    <w:p>
      <w:pPr>
        <w:pStyle w:val="Normal"/>
        <w:ind w:start="851" w:end="0"/>
        <w:rPr>
          <w:sz w:val="22"/>
        </w:rPr>
      </w:pPr>
      <w:r>
        <w:rPr>
          <w:sz w:val="22"/>
        </w:rPr>
        <w:t>Party A and its Custodian will be entitled to hold Posted Collateral pursuant to Paragraph 6 (b); provided that the following conditions applicable to it are satisfied:</w:t>
      </w:r>
    </w:p>
    <w:p>
      <w:pPr>
        <w:pStyle w:val="Normal"/>
        <w:ind w:start="851" w:end="0"/>
        <w:rPr>
          <w:sz w:val="22"/>
        </w:rPr>
      </w:pPr>
      <w:r>
        <w:rPr>
          <w:sz w:val="22"/>
        </w:rPr>
      </w:r>
    </w:p>
    <w:p>
      <w:pPr>
        <w:pStyle w:val="Normal"/>
        <w:ind w:start="851" w:end="0"/>
        <w:rPr>
          <w:sz w:val="22"/>
        </w:rPr>
      </w:pPr>
      <w:r>
        <w:rPr>
          <w:sz w:val="22"/>
        </w:rPr>
        <w:tab/>
        <w:t xml:space="preserve">(1) No Event of Default, Potential Event of Default or a Specified Condition (as </w:t>
        <w:tab/>
        <w:t>defined in 13 (d)) has occurred and is continuing with respect to Party A.</w:t>
      </w:r>
    </w:p>
    <w:p>
      <w:pPr>
        <w:pStyle w:val="Normal"/>
        <w:ind w:start="851" w:end="0"/>
        <w:rPr>
          <w:sz w:val="22"/>
        </w:rPr>
      </w:pPr>
      <w:r>
        <w:rPr>
          <w:sz w:val="22"/>
        </w:rPr>
      </w:r>
    </w:p>
    <w:p>
      <w:pPr>
        <w:pStyle w:val="Normal"/>
        <w:ind w:start="851" w:end="0"/>
        <w:rPr>
          <w:sz w:val="22"/>
        </w:rPr>
      </w:pPr>
      <w:r>
        <w:rPr>
          <w:sz w:val="22"/>
        </w:rPr>
        <w:t>Party B and its Custodian will be entitled to hold Posted Collateral pursuant to Paragraph 6 (b); provided that the following conditions applicable to it are satisfied:</w:t>
      </w:r>
    </w:p>
    <w:p>
      <w:pPr>
        <w:pStyle w:val="Normal"/>
        <w:ind w:start="851" w:end="0"/>
        <w:rPr>
          <w:sz w:val="22"/>
        </w:rPr>
      </w:pPr>
      <w:r>
        <w:rPr>
          <w:sz w:val="22"/>
        </w:rPr>
      </w:r>
    </w:p>
    <w:p>
      <w:pPr>
        <w:pStyle w:val="Normal"/>
        <w:ind w:start="851" w:end="0"/>
        <w:rPr>
          <w:sz w:val="22"/>
        </w:rPr>
      </w:pPr>
      <w:r>
        <w:rPr>
          <w:sz w:val="22"/>
        </w:rPr>
        <w:tab/>
        <w:t xml:space="preserve">(1) No Event of Default, Potential Event of Default or a Specified Condition (as </w:t>
        <w:tab/>
        <w:t>defined in 13(d)) has occurred and is continuing with respect to Party B.</w:t>
      </w:r>
    </w:p>
    <w:p>
      <w:pPr>
        <w:pStyle w:val="Normal"/>
        <w:ind w:start="851" w:end="0"/>
        <w:jc w:val="both"/>
        <w:rPr>
          <w:sz w:val="22"/>
        </w:rPr>
      </w:pPr>
      <w:r>
        <w:rPr>
          <w:sz w:val="22"/>
        </w:rPr>
      </w:r>
    </w:p>
    <w:p>
      <w:pPr>
        <w:pStyle w:val="Normal"/>
        <w:ind w:start="851" w:end="0"/>
        <w:jc w:val="both"/>
        <w:rPr>
          <w:sz w:val="22"/>
        </w:rPr>
      </w:pPr>
      <w:r>
        <w:rPr>
          <w:sz w:val="22"/>
        </w:rPr>
        <w:t>Paragraph 6(b)(ii) is replaced by the following: “If a Secured Party or its Custodian fails to satisfy any conditions for holding Posted Collateral, then upon a demand made by the Pledgor, the Secured Party will, not later than five Local Business Days after demand, Transfer or cause its Custodian to Transfer all Posted Collateral held by it to an escrow account in the conditions to be mutually determined by the parties”.</w:t>
      </w:r>
    </w:p>
    <w:p>
      <w:pPr>
        <w:pStyle w:val="Normal"/>
        <w:ind w:start="851" w:end="0"/>
        <w:jc w:val="both"/>
        <w:rPr>
          <w:sz w:val="22"/>
        </w:rPr>
      </w:pPr>
      <w:r>
        <w:rPr>
          <w:sz w:val="22"/>
        </w:rPr>
      </w:r>
    </w:p>
    <w:p>
      <w:pPr>
        <w:pStyle w:val="Normal"/>
        <w:ind w:start="851" w:end="0"/>
        <w:jc w:val="both"/>
        <w:rPr/>
      </w:pPr>
      <w:r>
        <w:rPr>
          <w:sz w:val="22"/>
        </w:rPr>
        <w:t xml:space="preserve">(ii) </w:t>
      </w:r>
      <w:r>
        <w:rPr>
          <w:b/>
          <w:i/>
          <w:sz w:val="22"/>
        </w:rPr>
        <w:t>Use of Posted Collateral.</w:t>
      </w:r>
      <w:r>
        <w:rPr>
          <w:sz w:val="22"/>
        </w:rPr>
        <w:t xml:space="preserve"> Paragraph 6(c) shall be replaced by the following: </w:t>
      </w:r>
    </w:p>
    <w:p>
      <w:pPr>
        <w:pStyle w:val="Normal"/>
        <w:ind w:start="851" w:end="0"/>
        <w:jc w:val="both"/>
        <w:rPr>
          <w:sz w:val="22"/>
        </w:rPr>
      </w:pPr>
      <w:r>
        <w:rPr>
          <w:sz w:val="22"/>
        </w:rPr>
      </w:r>
    </w:p>
    <w:p>
      <w:pPr>
        <w:pStyle w:val="Normal"/>
        <w:ind w:start="851" w:end="0"/>
        <w:jc w:val="both"/>
        <w:rPr>
          <w:sz w:val="22"/>
        </w:rPr>
      </w:pPr>
      <w:r>
        <w:rPr>
          <w:sz w:val="22"/>
        </w:rPr>
        <w:t>“</w:t>
      </w:r>
      <w:r>
        <w:rPr>
          <w:sz w:val="22"/>
        </w:rPr>
        <w:t>Subject to the condition that no Event of Default or Potential Event of Default has occurred and is continuing with respect to the Secured Party, the Secured Party shall have the free and unrestricted right to use and dispose of all Posted Collateral by it or on its behalf subject only to its obligation to Transfer such Posted Collateral if and when so required under this Credit Support Annex.”</w:t>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(h) </w:t>
      </w:r>
      <w:r>
        <w:rPr>
          <w:b/>
          <w:sz w:val="22"/>
        </w:rPr>
        <w:t>Distributions and Interest Amount.</w:t>
      </w:r>
    </w:p>
    <w:p>
      <w:pPr>
        <w:pStyle w:val="Normal"/>
        <w:jc w:val="both"/>
        <w:rPr>
          <w:b/>
          <w:i/>
          <w:i/>
          <w:sz w:val="22"/>
        </w:rPr>
      </w:pPr>
      <w:r>
        <w:rPr>
          <w:b/>
          <w:i/>
          <w:sz w:val="22"/>
        </w:rPr>
      </w:r>
    </w:p>
    <w:p>
      <w:pPr>
        <w:pStyle w:val="Normal"/>
        <w:ind w:start="851" w:end="0"/>
        <w:jc w:val="both"/>
        <w:rPr/>
      </w:pPr>
      <w:r>
        <w:rPr>
          <w:sz w:val="22"/>
        </w:rPr>
        <w:t xml:space="preserve">(i) </w:t>
      </w:r>
      <w:r>
        <w:rPr>
          <w:b/>
          <w:i/>
          <w:sz w:val="22"/>
        </w:rPr>
        <w:t>Interest Rate</w:t>
      </w:r>
      <w:r>
        <w:rPr>
          <w:sz w:val="22"/>
        </w:rPr>
        <w:t>. Posted Collateral shall bear interest calculated on a daily basis at the Interest Rate The “Interest Rate” will be, with respect to a particular date, the overnight Federal Funds as from time to time in effect ( as reported on Reuters ).</w:t>
      </w:r>
    </w:p>
    <w:p>
      <w:pPr>
        <w:pStyle w:val="Normal"/>
        <w:ind w:start="851" w:end="0"/>
        <w:jc w:val="both"/>
        <w:rPr>
          <w:sz w:val="22"/>
        </w:rPr>
      </w:pPr>
      <w:r>
        <w:rPr>
          <w:sz w:val="22"/>
        </w:rPr>
      </w:r>
    </w:p>
    <w:p>
      <w:pPr>
        <w:pStyle w:val="Normal"/>
        <w:ind w:start="851" w:end="0"/>
        <w:jc w:val="both"/>
        <w:rPr/>
      </w:pPr>
      <w:r>
        <w:rPr>
          <w:sz w:val="22"/>
        </w:rPr>
        <w:t xml:space="preserve">(ii) </w:t>
      </w:r>
      <w:r>
        <w:rPr>
          <w:b/>
          <w:i/>
          <w:sz w:val="22"/>
        </w:rPr>
        <w:t>Transfer of Interest Amount.</w:t>
      </w:r>
      <w:r>
        <w:rPr>
          <w:sz w:val="22"/>
        </w:rPr>
        <w:t xml:space="preserve"> The net amount of interest accrued monthly will be payable on the third Local Business Day of the following month, upon receipt of the corresponding invoice.</w:t>
      </w:r>
    </w:p>
    <w:p>
      <w:pPr>
        <w:pStyle w:val="Normal"/>
        <w:ind w:start="851" w:end="0"/>
        <w:jc w:val="both"/>
        <w:rPr>
          <w:sz w:val="22"/>
        </w:rPr>
      </w:pPr>
      <w:r>
        <w:rPr>
          <w:sz w:val="22"/>
        </w:rPr>
      </w:r>
    </w:p>
    <w:p>
      <w:pPr>
        <w:pStyle w:val="Normal"/>
        <w:jc w:val="both"/>
        <w:rPr>
          <w:sz w:val="22"/>
        </w:rPr>
      </w:pPr>
      <w:r>
        <w:rPr>
          <w:sz w:val="22"/>
        </w:rPr>
      </w:r>
    </w:p>
    <w:p>
      <w:pPr>
        <w:pStyle w:val="Normal"/>
        <w:jc w:val="both"/>
        <w:rPr>
          <w:b/>
          <w:sz w:val="22"/>
        </w:rPr>
      </w:pPr>
      <w:r>
        <w:rPr>
          <w:b/>
          <w:sz w:val="22"/>
        </w:rPr>
        <w:t xml:space="preserve">(i) Additional Representation(s) </w:t>
      </w:r>
      <w:r>
        <w:rPr>
          <w:sz w:val="22"/>
        </w:rPr>
        <w:t>(unused).</w:t>
      </w:r>
    </w:p>
    <w:p>
      <w:pPr>
        <w:pStyle w:val="Normal"/>
        <w:jc w:val="both"/>
        <w:rPr>
          <w:b/>
          <w:sz w:val="22"/>
        </w:rPr>
      </w:pPr>
      <w:r>
        <w:rPr>
          <w:b/>
          <w:sz w:val="22"/>
        </w:rPr>
      </w:r>
    </w:p>
    <w:p>
      <w:pPr>
        <w:pStyle w:val="Normal"/>
        <w:jc w:val="both"/>
        <w:rPr/>
      </w:pPr>
      <w:r>
        <w:rPr>
          <w:b/>
          <w:sz w:val="22"/>
        </w:rPr>
        <w:t xml:space="preserve">(j) Other Eligible Support and Other Posted Support </w:t>
      </w:r>
      <w:r>
        <w:rPr>
          <w:sz w:val="22"/>
        </w:rPr>
        <w:t>(unused).</w:t>
      </w:r>
    </w:p>
    <w:p>
      <w:pPr>
        <w:pStyle w:val="Normal"/>
        <w:jc w:val="both"/>
        <w:rPr>
          <w:sz w:val="22"/>
        </w:rPr>
      </w:pPr>
      <w:r>
        <w:rPr>
          <w:sz w:val="22"/>
        </w:rPr>
      </w:r>
    </w:p>
    <w:p>
      <w:pPr>
        <w:pStyle w:val="Normal"/>
        <w:jc w:val="both"/>
        <w:rPr>
          <w:b/>
          <w:sz w:val="22"/>
        </w:rPr>
      </w:pPr>
      <w:r>
        <w:rPr>
          <w:b/>
          <w:sz w:val="22"/>
        </w:rPr>
        <w:t>(k) Demands and Notices.</w:t>
      </w:r>
    </w:p>
    <w:p>
      <w:pPr>
        <w:pStyle w:val="Normal"/>
        <w:jc w:val="both"/>
        <w:rPr>
          <w:b/>
          <w:sz w:val="22"/>
        </w:rPr>
      </w:pPr>
      <w:r>
        <w:rPr>
          <w:b/>
          <w:sz w:val="22"/>
        </w:rPr>
      </w:r>
    </w:p>
    <w:p>
      <w:pPr>
        <w:pStyle w:val="Normal"/>
        <w:jc w:val="both"/>
        <w:rPr>
          <w:b/>
          <w:sz w:val="22"/>
        </w:rPr>
      </w:pPr>
      <w:r>
        <w:rPr>
          <w:sz w:val="22"/>
        </w:rPr>
        <w:t>All demands, specifications and notices to be made under the Annex will be made pursuant to the section for “Notices” in the Master Agreement dated as of ...................</w:t>
      </w:r>
    </w:p>
    <w:p>
      <w:pPr>
        <w:pStyle w:val="Normal"/>
        <w:jc w:val="both"/>
        <w:rPr>
          <w:b/>
          <w:sz w:val="22"/>
        </w:rPr>
      </w:pPr>
      <w:r>
        <w:rPr>
          <w:b/>
          <w:sz w:val="22"/>
        </w:rPr>
      </w:r>
    </w:p>
    <w:p>
      <w:pPr>
        <w:pStyle w:val="Normal"/>
        <w:jc w:val="both"/>
        <w:rPr>
          <w:b/>
          <w:sz w:val="22"/>
        </w:rPr>
      </w:pPr>
      <w:r>
        <w:rPr>
          <w:b/>
          <w:sz w:val="22"/>
        </w:rPr>
        <w:t>(l) Addresses for Transfers</w:t>
      </w:r>
    </w:p>
    <w:p>
      <w:pPr>
        <w:pStyle w:val="Normal"/>
        <w:jc w:val="both"/>
        <w:rPr>
          <w:b/>
          <w:sz w:val="22"/>
        </w:rPr>
      </w:pPr>
      <w:r>
        <w:rPr>
          <w:b/>
          <w:sz w:val="22"/>
        </w:rPr>
      </w:r>
    </w:p>
    <w:p>
      <w:pPr>
        <w:pStyle w:val="Normal"/>
        <w:jc w:val="both"/>
        <w:rPr>
          <w:sz w:val="22"/>
        </w:rPr>
      </w:pPr>
      <w:r>
        <w:rPr>
          <w:sz w:val="22"/>
        </w:rPr>
        <w:t xml:space="preserve">Party A: </w:t>
      </w:r>
      <w:r>
        <w:rPr>
          <w:i/>
          <w:sz w:val="22"/>
        </w:rPr>
        <w:t>(please advise).</w:t>
      </w:r>
    </w:p>
    <w:p>
      <w:pPr>
        <w:pStyle w:val="Normal"/>
        <w:jc w:val="both"/>
        <w:rPr>
          <w:sz w:val="22"/>
        </w:rPr>
      </w:pPr>
      <w:r>
        <w:rPr>
          <w:sz w:val="22"/>
        </w:rPr>
        <w:t>Party B: For Account of Perez Companc S.A., Account #36968355, at Citibank N.A. New York Branch, 111 Wall Street, 21st floor, New York, NY 10043</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(m) Other Provisions.</w:t>
      </w:r>
    </w:p>
    <w:p>
      <w:pPr>
        <w:pStyle w:val="Normal"/>
        <w:jc w:val="both"/>
        <w:rPr>
          <w:b/>
          <w:sz w:val="22"/>
        </w:rPr>
      </w:pPr>
      <w:r>
        <w:rPr>
          <w:b/>
          <w:sz w:val="22"/>
        </w:rPr>
      </w:r>
    </w:p>
    <w:p>
      <w:pPr>
        <w:pStyle w:val="Normal"/>
        <w:ind w:start="851" w:end="0"/>
        <w:jc w:val="both"/>
        <w:rPr/>
      </w:pPr>
      <w:r>
        <w:rPr>
          <w:sz w:val="22"/>
        </w:rPr>
        <w:t>(i)</w:t>
      </w:r>
      <w:r>
        <w:rPr>
          <w:b/>
          <w:i/>
          <w:sz w:val="22"/>
        </w:rPr>
        <w:t xml:space="preserve"> Additional Definitions</w:t>
      </w:r>
    </w:p>
    <w:p>
      <w:pPr>
        <w:pStyle w:val="Normal"/>
        <w:ind w:start="851" w:end="0"/>
        <w:jc w:val="both"/>
        <w:rPr>
          <w:b/>
          <w:i/>
          <w:i/>
          <w:sz w:val="22"/>
        </w:rPr>
      </w:pPr>
      <w:r>
        <w:rPr>
          <w:b/>
          <w:i/>
          <w:sz w:val="22"/>
        </w:rPr>
      </w:r>
    </w:p>
    <w:p>
      <w:pPr>
        <w:pStyle w:val="Normal"/>
        <w:ind w:start="851" w:end="0"/>
        <w:jc w:val="both"/>
        <w:rPr/>
      </w:pPr>
      <w:r>
        <w:rPr>
          <w:sz w:val="22"/>
        </w:rPr>
        <w:t>“</w:t>
      </w:r>
      <w:r>
        <w:rPr>
          <w:b/>
          <w:i/>
          <w:sz w:val="22"/>
        </w:rPr>
        <w:t>Local Business Day</w:t>
      </w:r>
      <w:r>
        <w:rPr>
          <w:sz w:val="22"/>
        </w:rPr>
        <w:t>” means any day on which commercial banks are open for business in New York and Buenos Aires.</w:t>
      </w:r>
    </w:p>
    <w:p>
      <w:pPr>
        <w:pStyle w:val="Normal"/>
        <w:ind w:start="851" w:end="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EXECUTED on ____________ , but effective as of the date set forth on the first page hereof.</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____________________________</w:t>
        <w:tab/>
        <w:tab/>
        <w:tab/>
        <w:tab/>
      </w:r>
      <w:r>
        <w:rPr>
          <w:b/>
          <w:sz w:val="22"/>
        </w:rPr>
        <w:t xml:space="preserve">PEREZ COMPANC S.A. </w:t>
      </w:r>
    </w:p>
    <w:p>
      <w:pPr>
        <w:pStyle w:val="Normal"/>
        <w:jc w:val="both"/>
        <w:rPr>
          <w:b/>
          <w:sz w:val="22"/>
        </w:rPr>
      </w:pPr>
      <w:r>
        <w:rPr>
          <w:b/>
          <w:sz w:val="22"/>
        </w:rPr>
      </w:r>
    </w:p>
    <w:p>
      <w:pPr>
        <w:pStyle w:val="Normal"/>
        <w:jc w:val="both"/>
        <w:rPr>
          <w:sz w:val="22"/>
        </w:rPr>
      </w:pPr>
      <w:r>
        <w:rPr>
          <w:sz w:val="22"/>
        </w:rPr>
        <w:t>By: ________________________</w:t>
        <w:tab/>
        <w:tab/>
        <w:tab/>
        <w:tab/>
        <w:t>By: ___________________</w:t>
      </w:r>
    </w:p>
    <w:p>
      <w:pPr>
        <w:pStyle w:val="Normal"/>
        <w:jc w:val="both"/>
        <w:rPr>
          <w:sz w:val="22"/>
        </w:rPr>
      </w:pPr>
      <w:r>
        <w:rPr>
          <w:sz w:val="22"/>
        </w:rPr>
        <w:t>Name:______________________</w:t>
        <w:tab/>
        <w:tab/>
        <w:tab/>
        <w:tab/>
        <w:t>Name: _________________</w:t>
      </w:r>
    </w:p>
    <w:p>
      <w:pPr>
        <w:pStyle w:val="Normal"/>
        <w:jc w:val="both"/>
        <w:rPr>
          <w:sz w:val="22"/>
        </w:rPr>
      </w:pPr>
      <w:r>
        <w:rPr>
          <w:sz w:val="22"/>
        </w:rPr>
        <w:t>Title: _______________________</w:t>
        <w:tab/>
        <w:tab/>
        <w:tab/>
        <w:tab/>
        <w:t>Title: 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Fuentedeprrafopredeter">
    <w:name w:val="Fuente de párrafo predeter."/>
    <w:qFormat/>
    <w:rPr/>
  </w:style>
  <w:style w:type="character" w:styleId="FootnoteCharacters">
    <w:name w:val="Footnote Characters"/>
    <w:basedOn w:val="Fuentedeprrafopredeter"/>
    <w:qFormat/>
    <w:rPr>
      <w:vertAlign w:val="superscript"/>
    </w:rPr>
  </w:style>
  <w:style w:type="character" w:styleId="EndnoteCharacters">
    <w:name w:val="Endnote Characters"/>
    <w:basedOn w:val="Fuentedeprrafopredeter"/>
    <w:qFormat/>
    <w:rPr>
      <w:vertAlign w:val="superscript"/>
    </w:rPr>
  </w:style>
  <w:style w:type="paragraph" w:styleId="Heading">
    <w:name w:val="Heading"/>
    <w:basedOn w:val="Normal"/>
    <w:next w:val="BodyText"/>
    <w:qFormat/>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EndnoteText">
    <w:name w:val="end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1996-10-30T19:05:00Z</dcterms:created>
  <dc:creator>.</dc:creator>
  <dc:description/>
  <dc:language>en-CA</dc:language>
  <cp:lastModifiedBy>.</cp:lastModifiedBy>
  <dcterms:modified xsi:type="dcterms:W3CDTF">1996-10-31T17:30:00Z</dcterms:modified>
  <cp:revision>5</cp:revision>
  <dc:subject/>
  <dc:title>Paragraph 13. Elections and Variables</dc:title>
</cp:coreProperties>
</file>