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10665" w:type="dxa"/>
        <w:jc w:val="start"/>
        <w:tblInd w:w="90" w:type="dxa"/>
        <w:tblLayout w:type="fixed"/>
        <w:tblCellMar>
          <w:top w:w="0" w:type="dxa"/>
          <w:start w:w="108" w:type="dxa"/>
          <w:bottom w:w="0" w:type="dxa"/>
          <w:end w:w="108" w:type="dxa"/>
        </w:tblCellMar>
      </w:tblPr>
      <w:tblGrid>
        <w:gridCol w:w="2205"/>
        <w:gridCol w:w="6315"/>
        <w:gridCol w:w="2145"/>
      </w:tblGrid>
      <w:tr>
        <w:trPr>
          <w:trHeight w:val="332" w:hRule="atLeast"/>
        </w:trPr>
        <w:tc>
          <w:tcPr>
            <w:tcW w:w="2205" w:type="dxa"/>
            <w:tcBorders>
              <w:top w:val="single" w:sz="4" w:space="0" w:color="000000"/>
              <w:start w:val="single" w:sz="4" w:space="0" w:color="000000"/>
              <w:end w:val="single" w:sz="4" w:space="0" w:color="000000"/>
            </w:tcBorders>
          </w:tcPr>
          <w:p>
            <w:pPr>
              <w:pStyle w:val="Normal"/>
              <w:rPr>
                <w:b/>
              </w:rPr>
            </w:pPr>
            <w:r>
              <w:rPr>
                <w:b/>
              </w:rPr>
              <w:t>Employee Name:</w:t>
            </w:r>
          </w:p>
        </w:tc>
        <w:tc>
          <w:tcPr>
            <w:tcW w:w="6315" w:type="dxa"/>
            <w:tcBorders>
              <w:top w:val="single" w:sz="4" w:space="0" w:color="000000"/>
              <w:start w:val="single" w:sz="4" w:space="0" w:color="000000"/>
              <w:end w:val="single" w:sz="4" w:space="0" w:color="000000"/>
            </w:tcBorders>
          </w:tcPr>
          <w:p>
            <w:pPr>
              <w:pStyle w:val="Normal"/>
              <w:rPr/>
            </w:pPr>
            <w:r>
              <w:rPr/>
              <w:t>Chris Stokley</w:t>
            </w:r>
          </w:p>
        </w:tc>
        <w:tc>
          <w:tcPr>
            <w:tcW w:w="2145" w:type="dxa"/>
            <w:tcBorders>
              <w:top w:val="single" w:sz="4" w:space="0" w:color="000000"/>
              <w:start w:val="single" w:sz="4" w:space="0" w:color="000000"/>
              <w:bottom w:val="single" w:sz="4" w:space="0" w:color="000000"/>
              <w:end w:val="single" w:sz="4" w:space="0" w:color="000000"/>
            </w:tcBorders>
          </w:tcPr>
          <w:p>
            <w:pPr>
              <w:pStyle w:val="Normal"/>
              <w:rPr/>
            </w:pPr>
            <w:r>
              <w:rPr>
                <w:b/>
              </w:rPr>
              <w:t>DATE:</w:t>
            </w:r>
            <w:r>
              <w:rPr/>
              <w:t xml:space="preserve">   01-27-2000</w:t>
            </w:r>
          </w:p>
          <w:p>
            <w:pPr>
              <w:pStyle w:val="Normal"/>
              <w:rPr/>
            </w:pPr>
            <w:r>
              <w:rPr/>
            </w:r>
          </w:p>
        </w:tc>
      </w:tr>
      <w:tr>
        <w:trPr>
          <w:trHeight w:val="422" w:hRule="atLeast"/>
        </w:trPr>
        <w:tc>
          <w:tcPr>
            <w:tcW w:w="2205" w:type="dxa"/>
            <w:tcBorders>
              <w:top w:val="single" w:sz="4" w:space="0" w:color="000000"/>
              <w:start w:val="single" w:sz="4" w:space="0" w:color="000000"/>
              <w:bottom w:val="single" w:sz="4" w:space="0" w:color="000000"/>
              <w:end w:val="single" w:sz="4" w:space="0" w:color="000000"/>
            </w:tcBorders>
          </w:tcPr>
          <w:p>
            <w:pPr>
              <w:pStyle w:val="Normal"/>
              <w:rPr>
                <w:b/>
              </w:rPr>
            </w:pPr>
            <w:r>
              <w:rPr>
                <w:b/>
              </w:rPr>
              <w:t>Review Period:</w:t>
            </w:r>
          </w:p>
        </w:tc>
        <w:tc>
          <w:tcPr>
            <w:tcW w:w="6315" w:type="dxa"/>
            <w:tcBorders>
              <w:top w:val="single" w:sz="4" w:space="0" w:color="000000"/>
              <w:start w:val="single" w:sz="4" w:space="0" w:color="000000"/>
              <w:bottom w:val="single" w:sz="4" w:space="0" w:color="000000"/>
              <w:end w:val="single" w:sz="4" w:space="0" w:color="000000"/>
            </w:tcBorders>
          </w:tcPr>
          <w:p>
            <w:pPr>
              <w:pStyle w:val="Normal"/>
              <w:rPr/>
            </w:pPr>
            <w:r>
              <w:rPr/>
              <w:t>06/01/2000 – 12/31/2000</w:t>
            </w:r>
          </w:p>
        </w:tc>
        <w:tc>
          <w:tcPr>
            <w:tcW w:w="2145" w:type="dxa"/>
            <w:tcBorders>
              <w:start w:val="single" w:sz="4" w:space="0" w:color="000000"/>
            </w:tcBorders>
          </w:tcPr>
          <w:p>
            <w:pPr>
              <w:pStyle w:val="Normal"/>
              <w:snapToGrid w:val="false"/>
              <w:rPr/>
            </w:pPr>
            <w:r>
              <w:rPr/>
            </w:r>
          </w:p>
        </w:tc>
      </w:tr>
    </w:tbl>
    <w:p>
      <w:pPr>
        <w:pStyle w:val="Normal"/>
        <w:rPr/>
      </w:pPr>
      <w:r>
        <w:rPr/>
      </w:r>
    </w:p>
    <w:p>
      <w:pPr>
        <w:pStyle w:val="Normal"/>
        <w:rPr/>
      </w:pPr>
      <w:r>
        <w:rPr/>
      </w:r>
    </w:p>
    <w:p>
      <w:pPr>
        <w:pStyle w:val="Normal"/>
        <w:rPr>
          <w:b/>
        </w:rPr>
      </w:pPr>
      <w:r>
        <w:rPr>
          <w:b/>
        </w:rPr>
        <w:t>Employee Accomplishments Over the Last Three and Six Months:</w:t>
      </w:r>
    </w:p>
    <w:tbl>
      <w:tblPr>
        <w:tblW w:w="10632" w:type="dxa"/>
        <w:jc w:val="start"/>
        <w:tblInd w:w="108" w:type="dxa"/>
        <w:tblLayout w:type="fixed"/>
        <w:tblCellMar>
          <w:top w:w="0" w:type="dxa"/>
          <w:start w:w="108" w:type="dxa"/>
          <w:bottom w:w="0" w:type="dxa"/>
          <w:end w:w="108" w:type="dxa"/>
        </w:tblCellMar>
      </w:tblPr>
      <w:tblGrid>
        <w:gridCol w:w="10632"/>
      </w:tblGrid>
      <w:tr>
        <w:trPr>
          <w:trHeight w:val="2310" w:hRule="atLeast"/>
        </w:trPr>
        <w:tc>
          <w:tcPr>
            <w:tcW w:w="10632" w:type="dxa"/>
            <w:tcBorders>
              <w:top w:val="single" w:sz="4" w:space="0" w:color="000000"/>
              <w:start w:val="single" w:sz="4" w:space="0" w:color="000000"/>
              <w:bottom w:val="single" w:sz="4" w:space="0" w:color="000000"/>
              <w:end w:val="single" w:sz="4" w:space="0" w:color="000000"/>
            </w:tcBorders>
          </w:tcPr>
          <w:p>
            <w:pPr>
              <w:pStyle w:val="Normal"/>
              <w:rPr>
                <w:b/>
                <w:sz w:val="24"/>
                <w:u w:val="single"/>
              </w:rPr>
            </w:pPr>
            <w:r>
              <w:rPr>
                <w:b/>
                <w:sz w:val="24"/>
                <w:u w:val="single"/>
              </w:rPr>
              <w:t>Second Half of 2000:</w:t>
            </w:r>
          </w:p>
          <w:p>
            <w:pPr>
              <w:pStyle w:val="Normal"/>
              <w:rPr>
                <w:b/>
                <w:sz w:val="24"/>
                <w:u w:val="single"/>
              </w:rPr>
            </w:pPr>
            <w:r>
              <w:rPr>
                <w:b/>
                <w:sz w:val="24"/>
                <w:u w:val="single"/>
              </w:rPr>
            </w:r>
          </w:p>
          <w:p>
            <w:pPr>
              <w:pStyle w:val="Normal"/>
              <w:numPr>
                <w:ilvl w:val="0"/>
                <w:numId w:val="4"/>
              </w:numPr>
              <w:rPr/>
            </w:pPr>
            <w:r>
              <w:rPr/>
              <w:t>Participated on a team of resources to implement processes and tools to address the Calgary Canada office participation in the Alberta Pool</w:t>
            </w:r>
          </w:p>
          <w:p>
            <w:pPr>
              <w:pStyle w:val="Normal"/>
              <w:numPr>
                <w:ilvl w:val="0"/>
                <w:numId w:val="4"/>
              </w:numPr>
              <w:rPr/>
            </w:pPr>
            <w:r>
              <w:rPr/>
              <w:t>Participated in the VMS requirement / Design meetings held between Enron and Razorfish</w:t>
            </w:r>
          </w:p>
          <w:p>
            <w:pPr>
              <w:pStyle w:val="Normal"/>
              <w:numPr>
                <w:ilvl w:val="0"/>
                <w:numId w:val="4"/>
              </w:numPr>
              <w:rPr/>
            </w:pPr>
            <w:r>
              <w:rPr/>
              <w:t>Worked with Volume Management team to implement ISO and PX market tariff and Settlement Protocol changes.</w:t>
            </w:r>
          </w:p>
          <w:p>
            <w:pPr>
              <w:pStyle w:val="Normal"/>
              <w:numPr>
                <w:ilvl w:val="0"/>
                <w:numId w:val="4"/>
              </w:numPr>
              <w:ind w:hanging="360" w:start="720" w:end="0"/>
              <w:rPr/>
            </w:pPr>
            <w:r>
              <w:rPr/>
              <w:t>10 min settlement</w:t>
            </w:r>
          </w:p>
          <w:p>
            <w:pPr>
              <w:pStyle w:val="Normal"/>
              <w:numPr>
                <w:ilvl w:val="0"/>
                <w:numId w:val="4"/>
              </w:numPr>
              <w:ind w:hanging="360" w:start="720" w:end="0"/>
              <w:rPr/>
            </w:pPr>
            <w:r>
              <w:rPr/>
              <w:t>Prelim &amp; Final Settlement</w:t>
            </w:r>
          </w:p>
          <w:p>
            <w:pPr>
              <w:pStyle w:val="Normal"/>
              <w:numPr>
                <w:ilvl w:val="0"/>
                <w:numId w:val="4"/>
              </w:numPr>
              <w:ind w:hanging="360" w:start="720" w:end="0"/>
              <w:rPr/>
            </w:pPr>
            <w:r>
              <w:rPr/>
              <w:t>SC – SC adjustment bids</w:t>
            </w:r>
          </w:p>
          <w:p>
            <w:pPr>
              <w:pStyle w:val="Normal"/>
              <w:numPr>
                <w:ilvl w:val="0"/>
                <w:numId w:val="4"/>
              </w:numPr>
              <w:ind w:hanging="360" w:start="720" w:end="0"/>
              <w:rPr/>
            </w:pPr>
            <w:r>
              <w:rPr/>
              <w:t>ADS (Automated Dispatch Instructions)</w:t>
            </w:r>
          </w:p>
          <w:p>
            <w:pPr>
              <w:pStyle w:val="Normal"/>
              <w:numPr>
                <w:ilvl w:val="0"/>
                <w:numId w:val="4"/>
              </w:numPr>
              <w:ind w:hanging="360" w:start="720" w:end="0"/>
              <w:rPr/>
            </w:pPr>
            <w:r>
              <w:rPr/>
              <w:t>ISO Historical UFE Clean-up for 1999</w:t>
            </w:r>
          </w:p>
          <w:p>
            <w:pPr>
              <w:pStyle w:val="Normal"/>
              <w:numPr>
                <w:ilvl w:val="0"/>
                <w:numId w:val="4"/>
              </w:numPr>
              <w:ind w:hanging="360" w:start="720" w:end="0"/>
              <w:rPr>
                <w:b/>
                <w:u w:val="single"/>
              </w:rPr>
            </w:pPr>
            <w:r>
              <w:rPr/>
              <w:t>ISO Charge code consolidations and new charge code generation (Imbalance charge codes…)</w:t>
            </w:r>
          </w:p>
          <w:p>
            <w:pPr>
              <w:pStyle w:val="Normal"/>
              <w:rPr>
                <w:b/>
                <w:sz w:val="22"/>
                <w:u w:val="single"/>
              </w:rPr>
            </w:pPr>
            <w:r>
              <w:rPr>
                <w:b/>
                <w:sz w:val="22"/>
                <w:u w:val="single"/>
              </w:rPr>
            </w:r>
          </w:p>
          <w:p>
            <w:pPr>
              <w:pStyle w:val="Normal"/>
              <w:rPr>
                <w:b/>
                <w:sz w:val="24"/>
                <w:u w:val="single"/>
              </w:rPr>
            </w:pPr>
            <w:r>
              <w:rPr>
                <w:b/>
                <w:sz w:val="24"/>
                <w:u w:val="single"/>
              </w:rPr>
              <w:t>First Half of 2000:</w:t>
            </w:r>
          </w:p>
          <w:p>
            <w:pPr>
              <w:pStyle w:val="Normal"/>
              <w:rPr>
                <w:b/>
                <w:sz w:val="24"/>
                <w:u w:val="single"/>
              </w:rPr>
            </w:pPr>
            <w:r>
              <w:rPr>
                <w:b/>
                <w:sz w:val="24"/>
                <w:u w:val="single"/>
              </w:rPr>
            </w:r>
          </w:p>
          <w:p>
            <w:pPr>
              <w:pStyle w:val="Normal"/>
              <w:numPr>
                <w:ilvl w:val="0"/>
                <w:numId w:val="6"/>
              </w:numPr>
              <w:rPr/>
            </w:pPr>
            <w:r>
              <w:rPr/>
              <w:t>Trained Brett Hunsucker on the PX forward market reconciliation along with the PX estimation process.</w:t>
            </w:r>
          </w:p>
          <w:p>
            <w:pPr>
              <w:pStyle w:val="Normal"/>
              <w:numPr>
                <w:ilvl w:val="0"/>
                <w:numId w:val="6"/>
              </w:numPr>
              <w:rPr/>
            </w:pPr>
            <w:r>
              <w:rPr/>
              <w:t>Helped Heather and Chris Foster normalize our handling of our generation customers.</w:t>
            </w:r>
          </w:p>
          <w:p>
            <w:pPr>
              <w:pStyle w:val="Normal"/>
              <w:numPr>
                <w:ilvl w:val="0"/>
                <w:numId w:val="6"/>
              </w:numPr>
              <w:rPr/>
            </w:pPr>
            <w:r>
              <w:rPr/>
              <w:t>Came up with clearly defined settlement procedures for Houston settlements and VM to be able to follow going forward.</w:t>
            </w:r>
          </w:p>
          <w:p>
            <w:pPr>
              <w:pStyle w:val="Normal"/>
              <w:numPr>
                <w:ilvl w:val="0"/>
                <w:numId w:val="6"/>
              </w:numPr>
              <w:rPr/>
            </w:pPr>
            <w:r>
              <w:rPr/>
              <w:t>Implemented procedures for handling service customer cuts, so that EPMI remains flat.</w:t>
            </w:r>
          </w:p>
          <w:p>
            <w:pPr>
              <w:pStyle w:val="BodyText"/>
              <w:numPr>
                <w:ilvl w:val="0"/>
                <w:numId w:val="13"/>
              </w:numPr>
              <w:jc w:val="both"/>
              <w:rPr>
                <w:sz w:val="20"/>
              </w:rPr>
            </w:pPr>
            <w:r>
              <w:rPr>
                <w:sz w:val="20"/>
              </w:rPr>
              <w:t>Played a major role in the implementation of procedures for how to handle the addition of PG&amp;E into the EES portfolio.</w:t>
            </w:r>
          </w:p>
          <w:p>
            <w:pPr>
              <w:pStyle w:val="Normal"/>
              <w:numPr>
                <w:ilvl w:val="0"/>
                <w:numId w:val="13"/>
              </w:numPr>
              <w:rPr/>
            </w:pPr>
            <w:r>
              <w:rPr/>
              <w:t xml:space="preserve">Helped design and implement the roll out of the New Flash. </w:t>
            </w:r>
          </w:p>
          <w:p>
            <w:pPr>
              <w:pStyle w:val="Normal"/>
              <w:numPr>
                <w:ilvl w:val="0"/>
                <w:numId w:val="13"/>
              </w:numPr>
              <w:rPr/>
            </w:pPr>
            <w:r>
              <w:rPr/>
              <w:t>Documented the necessary specks for the reconciliation of the PX from the Forward Market through the R-T Invoice</w:t>
            </w:r>
          </w:p>
          <w:p>
            <w:pPr>
              <w:pStyle w:val="Normal"/>
              <w:numPr>
                <w:ilvl w:val="0"/>
                <w:numId w:val="13"/>
              </w:numPr>
              <w:rPr/>
            </w:pPr>
            <w:r>
              <w:rPr/>
              <w:t>Set up a new booking policy for supplemental deal that should help eliminate fixed price risk.</w:t>
            </w:r>
          </w:p>
          <w:p>
            <w:pPr>
              <w:pStyle w:val="BodyTextIndent"/>
              <w:numPr>
                <w:ilvl w:val="0"/>
                <w:numId w:val="13"/>
              </w:numPr>
              <w:rPr>
                <w:sz w:val="20"/>
              </w:rPr>
            </w:pPr>
            <w:r>
              <w:rPr>
                <w:sz w:val="20"/>
              </w:rPr>
              <w:t>Identified the TO debit issue and how alleviate some of the costs through proper allocation.</w:t>
            </w:r>
          </w:p>
          <w:p>
            <w:pPr>
              <w:pStyle w:val="Normal"/>
              <w:numPr>
                <w:ilvl w:val="0"/>
                <w:numId w:val="13"/>
              </w:numPr>
              <w:rPr/>
            </w:pPr>
            <w:r>
              <w:rPr/>
              <w:t>On a daily basis I help R-T, Calf Desk, and Mid Market w/ the most efficient way in which to capture their transactions.</w:t>
            </w:r>
          </w:p>
          <w:p>
            <w:pPr>
              <w:pStyle w:val="Normal"/>
              <w:numPr>
                <w:ilvl w:val="0"/>
                <w:numId w:val="13"/>
              </w:numPr>
              <w:rPr/>
            </w:pPr>
            <w:r>
              <w:rPr/>
              <w:t xml:space="preserve"> </w:t>
            </w:r>
            <w:r>
              <w:rPr/>
              <w:t>Helped R-T in both Calf. Market education and in deciding some trading strategies as they concern Calf.</w:t>
            </w:r>
          </w:p>
          <w:p>
            <w:pPr>
              <w:pStyle w:val="Normal"/>
              <w:numPr>
                <w:ilvl w:val="0"/>
                <w:numId w:val="13"/>
              </w:numPr>
              <w:rPr/>
            </w:pPr>
            <w:r>
              <w:rPr/>
              <w:t>Involved in the FTR process in varying degrees from start to finish.</w:t>
            </w:r>
          </w:p>
          <w:p>
            <w:pPr>
              <w:pStyle w:val="Normal"/>
              <w:numPr>
                <w:ilvl w:val="0"/>
                <w:numId w:val="13"/>
              </w:numPr>
              <w:rPr/>
            </w:pPr>
            <w:r>
              <w:rPr/>
              <w:t>Improved the automation process of settling the PX from trade date to actualization.</w:t>
            </w:r>
          </w:p>
          <w:p>
            <w:pPr>
              <w:pStyle w:val="Normal"/>
              <w:numPr>
                <w:ilvl w:val="0"/>
                <w:numId w:val="13"/>
              </w:numPr>
              <w:rPr/>
            </w:pPr>
            <w:r>
              <w:rPr/>
              <w:t>Played a major role in the education of the VM group in both the Calf. Market and the final booking process through to the GL.</w:t>
            </w:r>
          </w:p>
          <w:p>
            <w:pPr>
              <w:pStyle w:val="Normal"/>
              <w:numPr>
                <w:ilvl w:val="0"/>
                <w:numId w:val="13"/>
              </w:numPr>
              <w:rPr/>
            </w:pPr>
            <w:r>
              <w:rPr/>
              <w:t xml:space="preserve"> </w:t>
            </w:r>
            <w:r>
              <w:rPr/>
              <w:t xml:space="preserve">Played a lead role in the VM group along w/ handling many of the Houston based issues that arise w/ Murray out of the office handling Corporate VM issues.  </w:t>
            </w:r>
          </w:p>
          <w:p>
            <w:pPr>
              <w:pStyle w:val="Normal"/>
              <w:numPr>
                <w:ilvl w:val="0"/>
                <w:numId w:val="13"/>
              </w:numPr>
              <w:rPr/>
            </w:pPr>
            <w:r>
              <w:rPr/>
              <w:t xml:space="preserve"> </w:t>
            </w:r>
            <w:r>
              <w:rPr/>
              <w:t>I have grown in my knowledge of what information the Calf. Traders use in their decision making.</w:t>
            </w:r>
          </w:p>
          <w:p>
            <w:pPr>
              <w:pStyle w:val="Normal"/>
              <w:numPr>
                <w:ilvl w:val="0"/>
                <w:numId w:val="13"/>
              </w:numPr>
              <w:rPr/>
            </w:pPr>
            <w:r>
              <w:rPr/>
              <w:t xml:space="preserve"> </w:t>
            </w:r>
            <w:r>
              <w:rPr/>
              <w:t>Helped keep the group as whole stable and productive while giving them a place in which to vent their frustrations.</w:t>
            </w:r>
          </w:p>
          <w:p>
            <w:pPr>
              <w:pStyle w:val="BodyText"/>
              <w:numPr>
                <w:ilvl w:val="0"/>
                <w:numId w:val="13"/>
              </w:numPr>
              <w:jc w:val="both"/>
              <w:rPr>
                <w:sz w:val="22"/>
              </w:rPr>
            </w:pPr>
            <w:r>
              <w:rPr>
                <w:sz w:val="20"/>
              </w:rPr>
              <w:t>Note: The TO Debit issue mentioned in item number four is an accomplishment as far as how it was handled after being identified. The TO Debit issue, however, is also one of my great failures for 1999. This issue should have been identified by VM and brought to the attention of all the relevant people on the floor much earlier than what it was.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65" w:type="dxa"/>
        <w:jc w:val="start"/>
        <w:tblInd w:w="90" w:type="dxa"/>
        <w:tblLayout w:type="fixed"/>
        <w:tblCellMar>
          <w:top w:w="0" w:type="dxa"/>
          <w:start w:w="108" w:type="dxa"/>
          <w:bottom w:w="0" w:type="dxa"/>
          <w:end w:w="108" w:type="dxa"/>
        </w:tblCellMar>
      </w:tblPr>
      <w:tblGrid>
        <w:gridCol w:w="2205"/>
        <w:gridCol w:w="6315"/>
        <w:gridCol w:w="2145"/>
      </w:tblGrid>
      <w:tr>
        <w:trPr>
          <w:trHeight w:val="332" w:hRule="atLeast"/>
        </w:trPr>
        <w:tc>
          <w:tcPr>
            <w:tcW w:w="2205" w:type="dxa"/>
            <w:tcBorders>
              <w:top w:val="single" w:sz="4" w:space="0" w:color="000000"/>
              <w:start w:val="single" w:sz="4" w:space="0" w:color="000000"/>
              <w:end w:val="single" w:sz="4" w:space="0" w:color="000000"/>
            </w:tcBorders>
          </w:tcPr>
          <w:p>
            <w:pPr>
              <w:pStyle w:val="Normal"/>
              <w:rPr>
                <w:b/>
              </w:rPr>
            </w:pPr>
            <w:r>
              <w:rPr>
                <w:b/>
              </w:rPr>
              <w:t>Employee Name:</w:t>
            </w:r>
          </w:p>
        </w:tc>
        <w:tc>
          <w:tcPr>
            <w:tcW w:w="6315" w:type="dxa"/>
            <w:tcBorders>
              <w:top w:val="single" w:sz="4" w:space="0" w:color="000000"/>
              <w:start w:val="single" w:sz="4" w:space="0" w:color="000000"/>
              <w:end w:val="single" w:sz="4" w:space="0" w:color="000000"/>
            </w:tcBorders>
          </w:tcPr>
          <w:p>
            <w:pPr>
              <w:pStyle w:val="Normal"/>
              <w:rPr/>
            </w:pPr>
            <w:r>
              <w:rPr/>
              <w:t>Chris Stokley</w:t>
            </w:r>
          </w:p>
        </w:tc>
        <w:tc>
          <w:tcPr>
            <w:tcW w:w="2145" w:type="dxa"/>
            <w:tcBorders>
              <w:top w:val="single" w:sz="4" w:space="0" w:color="000000"/>
              <w:start w:val="single" w:sz="4" w:space="0" w:color="000000"/>
              <w:bottom w:val="single" w:sz="4" w:space="0" w:color="000000"/>
              <w:end w:val="single" w:sz="4" w:space="0" w:color="000000"/>
            </w:tcBorders>
          </w:tcPr>
          <w:p>
            <w:pPr>
              <w:pStyle w:val="Normal"/>
              <w:rPr/>
            </w:pPr>
            <w:r>
              <w:rPr>
                <w:b/>
              </w:rPr>
              <w:t>DATE:</w:t>
            </w:r>
            <w:r>
              <w:rPr/>
              <w:t xml:space="preserve">   01-27-2000</w:t>
            </w:r>
          </w:p>
          <w:p>
            <w:pPr>
              <w:pStyle w:val="Normal"/>
              <w:rPr/>
            </w:pPr>
            <w:r>
              <w:rPr/>
            </w:r>
          </w:p>
        </w:tc>
      </w:tr>
      <w:tr>
        <w:trPr>
          <w:trHeight w:val="422" w:hRule="atLeast"/>
        </w:trPr>
        <w:tc>
          <w:tcPr>
            <w:tcW w:w="2205" w:type="dxa"/>
            <w:tcBorders>
              <w:top w:val="single" w:sz="4" w:space="0" w:color="000000"/>
              <w:start w:val="single" w:sz="4" w:space="0" w:color="000000"/>
              <w:bottom w:val="single" w:sz="4" w:space="0" w:color="000000"/>
              <w:end w:val="single" w:sz="4" w:space="0" w:color="000000"/>
            </w:tcBorders>
          </w:tcPr>
          <w:p>
            <w:pPr>
              <w:pStyle w:val="Normal"/>
              <w:rPr>
                <w:b/>
              </w:rPr>
            </w:pPr>
            <w:r>
              <w:rPr>
                <w:b/>
              </w:rPr>
              <w:t>Review Period:</w:t>
            </w:r>
          </w:p>
        </w:tc>
        <w:tc>
          <w:tcPr>
            <w:tcW w:w="6315" w:type="dxa"/>
            <w:tcBorders>
              <w:top w:val="single" w:sz="4" w:space="0" w:color="000000"/>
              <w:start w:val="single" w:sz="4" w:space="0" w:color="000000"/>
              <w:bottom w:val="single" w:sz="4" w:space="0" w:color="000000"/>
              <w:end w:val="single" w:sz="4" w:space="0" w:color="000000"/>
            </w:tcBorders>
          </w:tcPr>
          <w:p>
            <w:pPr>
              <w:pStyle w:val="Normal"/>
              <w:rPr/>
            </w:pPr>
            <w:r>
              <w:rPr/>
              <w:t>06/01/2000 – 12/31/2000</w:t>
            </w:r>
          </w:p>
        </w:tc>
        <w:tc>
          <w:tcPr>
            <w:tcW w:w="2145" w:type="dxa"/>
            <w:tcBorders>
              <w:start w:val="single" w:sz="4" w:space="0" w:color="000000"/>
            </w:tcBorders>
          </w:tcPr>
          <w:p>
            <w:pPr>
              <w:pStyle w:val="Normal"/>
              <w:snapToGrid w:val="false"/>
              <w:rPr/>
            </w:pPr>
            <w:r>
              <w:rPr/>
            </w:r>
          </w:p>
        </w:tc>
      </w:tr>
    </w:tbl>
    <w:p>
      <w:pPr>
        <w:pStyle w:val="Normal"/>
        <w:rPr/>
      </w:pPr>
      <w:r>
        <w:rPr/>
      </w:r>
    </w:p>
    <w:p>
      <w:pPr>
        <w:pStyle w:val="Normal"/>
        <w:rPr/>
      </w:pPr>
      <w:r>
        <w:rPr/>
        <w:t>Supervisors Comments Over the Last Three and Six Month Performance:</w:t>
      </w:r>
    </w:p>
    <w:tbl>
      <w:tblPr>
        <w:tblW w:w="10632" w:type="dxa"/>
        <w:jc w:val="start"/>
        <w:tblInd w:w="108" w:type="dxa"/>
        <w:tblLayout w:type="fixed"/>
        <w:tblCellMar>
          <w:top w:w="0" w:type="dxa"/>
          <w:start w:w="108" w:type="dxa"/>
          <w:bottom w:w="0" w:type="dxa"/>
          <w:end w:w="108" w:type="dxa"/>
        </w:tblCellMar>
      </w:tblPr>
      <w:tblGrid>
        <w:gridCol w:w="10632"/>
      </w:tblGrid>
      <w:tr>
        <w:trPr>
          <w:trHeight w:val="1070" w:hRule="atLeast"/>
        </w:trPr>
        <w:tc>
          <w:tcPr>
            <w:tcW w:w="10632"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Strengths:</w:t>
            </w:r>
          </w:p>
          <w:p>
            <w:pPr>
              <w:pStyle w:val="Normal"/>
              <w:numPr>
                <w:ilvl w:val="0"/>
                <w:numId w:val="7"/>
              </w:numPr>
              <w:rPr/>
            </w:pPr>
            <w:r>
              <w:rPr/>
              <w:t>Ability to communicate with and conduct the efforts of the Volume Management group</w:t>
            </w:r>
          </w:p>
          <w:p>
            <w:pPr>
              <w:pStyle w:val="Normal"/>
              <w:numPr>
                <w:ilvl w:val="0"/>
                <w:numId w:val="7"/>
              </w:numPr>
              <w:rPr/>
            </w:pPr>
            <w:r>
              <w:rPr/>
              <w:t>Detail knowledge of the California Market operations and settlement tariffs and protocol</w:t>
            </w:r>
          </w:p>
          <w:p>
            <w:pPr>
              <w:pStyle w:val="Normal"/>
              <w:numPr>
                <w:ilvl w:val="0"/>
                <w:numId w:val="7"/>
              </w:numPr>
              <w:rPr/>
            </w:pPr>
            <w:r>
              <w:rPr/>
              <w:t>Detail knowledge of ENA processes and key resources to achieve objectives</w:t>
            </w:r>
          </w:p>
          <w:p>
            <w:pPr>
              <w:pStyle w:val="Normal"/>
              <w:numPr>
                <w:ilvl w:val="0"/>
                <w:numId w:val="7"/>
              </w:numPr>
              <w:rPr/>
            </w:pPr>
            <w:r>
              <w:rPr/>
              <w:t>Performing the role of most knowledgeable source for Scheduling and Trading to inquire on P&amp;L impacts of their proposed trades</w:t>
            </w:r>
          </w:p>
          <w:p>
            <w:pPr>
              <w:pStyle w:val="Normal"/>
              <w:numPr>
                <w:ilvl w:val="0"/>
                <w:numId w:val="7"/>
              </w:numPr>
              <w:rPr/>
            </w:pPr>
            <w:r>
              <w:rPr/>
              <w:t>Chris is a good teacher to new Employees.  He has such a detailed knowledge of the existing market and explains the market to people in a way that they can understand.</w:t>
            </w:r>
          </w:p>
          <w:p>
            <w:pPr>
              <w:pStyle w:val="Normal"/>
              <w:numPr>
                <w:ilvl w:val="0"/>
                <w:numId w:val="7"/>
              </w:numPr>
              <w:rPr/>
            </w:pPr>
            <w:r>
              <w:rPr/>
              <w:t>Results oriented – Knows what the end solutions needs to include and what is required of daily processing to get there.</w:t>
            </w:r>
          </w:p>
          <w:p>
            <w:pPr>
              <w:pStyle w:val="Normal"/>
              <w:rPr>
                <w:b/>
                <w:u w:val="single"/>
              </w:rPr>
            </w:pPr>
            <w:r>
              <w:rPr>
                <w:b/>
                <w:u w:val="single"/>
              </w:rPr>
              <w:t>Areas of Focus:</w:t>
            </w:r>
          </w:p>
          <w:p>
            <w:pPr>
              <w:pStyle w:val="Normal"/>
              <w:numPr>
                <w:ilvl w:val="0"/>
                <w:numId w:val="2"/>
              </w:numPr>
              <w:rPr/>
            </w:pPr>
            <w:r>
              <w:rPr/>
              <w:t>Remove self from detail to focus more on longer term objectives and true efficient operation of the group and it’s responsibilities</w:t>
            </w:r>
          </w:p>
          <w:p>
            <w:pPr>
              <w:pStyle w:val="Normal"/>
              <w:numPr>
                <w:ilvl w:val="0"/>
                <w:numId w:val="17"/>
              </w:numPr>
              <w:rPr/>
            </w:pPr>
            <w:r>
              <w:rPr/>
              <w:t xml:space="preserve">Ensure the group is addressing the basics each day and each month.  Ensure repeatable processes.  (Our foundation in Volume Management) </w:t>
            </w:r>
          </w:p>
          <w:p>
            <w:pPr>
              <w:pStyle w:val="Normal"/>
              <w:numPr>
                <w:ilvl w:val="0"/>
                <w:numId w:val="17"/>
              </w:numPr>
              <w:rPr/>
            </w:pPr>
            <w:r>
              <w:rPr/>
              <w:t>Increase self-focus on the administrative responsibilities for leading and managing a group.  (Direction and Objective planning, Performance Reviews, Group status, …)</w:t>
            </w:r>
          </w:p>
          <w:p>
            <w:pPr>
              <w:pStyle w:val="Normal"/>
              <w:numPr>
                <w:ilvl w:val="0"/>
                <w:numId w:val="17"/>
              </w:numPr>
              <w:rPr/>
            </w:pPr>
            <w:r>
              <w:rPr/>
              <w:t>Improve technological knowledge (What can be offered by current tools set (excel, access…) and Methodologies, used to determine problem areas and adequate software development solutions)</w:t>
            </w:r>
          </w:p>
        </w:tc>
      </w:tr>
    </w:tbl>
    <w:p>
      <w:pPr>
        <w:pStyle w:val="Normal"/>
        <w:rPr/>
      </w:pPr>
      <w:r>
        <w:rPr/>
      </w:r>
    </w:p>
    <w:p>
      <w:pPr>
        <w:pStyle w:val="Normal"/>
        <w:rPr/>
      </w:pPr>
      <w:r>
        <w:rPr/>
      </w:r>
    </w:p>
    <w:p>
      <w:pPr>
        <w:pStyle w:val="Normal"/>
        <w:rPr/>
      </w:pPr>
      <w:r>
        <w:rPr/>
        <w:t>Employee Response:</w:t>
      </w:r>
    </w:p>
    <w:tbl>
      <w:tblPr>
        <w:tblW w:w="10632" w:type="dxa"/>
        <w:jc w:val="start"/>
        <w:tblInd w:w="108" w:type="dxa"/>
        <w:tblLayout w:type="fixed"/>
        <w:tblCellMar>
          <w:top w:w="0" w:type="dxa"/>
          <w:start w:w="108" w:type="dxa"/>
          <w:bottom w:w="0" w:type="dxa"/>
          <w:end w:w="108" w:type="dxa"/>
        </w:tblCellMar>
      </w:tblPr>
      <w:tblGrid>
        <w:gridCol w:w="10632"/>
      </w:tblGrid>
      <w:tr>
        <w:trPr>
          <w:trHeight w:val="1070" w:hRule="atLeast"/>
        </w:trPr>
        <w:tc>
          <w:tcPr>
            <w:tcW w:w="10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rPr/>
      </w:pPr>
      <w:r>
        <w:rPr/>
      </w:r>
    </w:p>
    <w:p>
      <w:pPr>
        <w:pStyle w:val="Normal"/>
        <w:rPr/>
      </w:pPr>
      <w:r>
        <w:rPr/>
      </w:r>
    </w:p>
    <w:p>
      <w:pPr>
        <w:pStyle w:val="Normal"/>
        <w:rPr/>
      </w:pPr>
      <w:r>
        <w:rPr/>
        <w:t>Short Term Employee Goals:</w:t>
      </w:r>
    </w:p>
    <w:tbl>
      <w:tblPr>
        <w:tblW w:w="10632" w:type="dxa"/>
        <w:jc w:val="start"/>
        <w:tblInd w:w="108" w:type="dxa"/>
        <w:tblLayout w:type="fixed"/>
        <w:tblCellMar>
          <w:top w:w="0" w:type="dxa"/>
          <w:start w:w="108" w:type="dxa"/>
          <w:bottom w:w="0" w:type="dxa"/>
          <w:end w:w="108" w:type="dxa"/>
        </w:tblCellMar>
      </w:tblPr>
      <w:tblGrid>
        <w:gridCol w:w="10632"/>
      </w:tblGrid>
      <w:tr>
        <w:trPr>
          <w:trHeight w:val="1070" w:hRule="atLeast"/>
        </w:trPr>
        <w:tc>
          <w:tcPr>
            <w:tcW w:w="10632" w:type="dxa"/>
            <w:tcBorders>
              <w:top w:val="single" w:sz="4" w:space="0" w:color="000000"/>
              <w:start w:val="single" w:sz="4" w:space="0" w:color="000000"/>
              <w:bottom w:val="single" w:sz="4" w:space="0" w:color="000000"/>
              <w:end w:val="single" w:sz="4" w:space="0" w:color="000000"/>
            </w:tcBorders>
          </w:tcPr>
          <w:p>
            <w:pPr>
              <w:pStyle w:val="Normal"/>
              <w:numPr>
                <w:ilvl w:val="0"/>
                <w:numId w:val="15"/>
              </w:numPr>
              <w:jc w:val="both"/>
              <w:rPr/>
            </w:pPr>
            <w:r>
              <w:rPr/>
              <w:t>Take a course on Project Management.</w:t>
            </w:r>
          </w:p>
          <w:p>
            <w:pPr>
              <w:pStyle w:val="Normal"/>
              <w:numPr>
                <w:ilvl w:val="0"/>
                <w:numId w:val="15"/>
              </w:numPr>
              <w:jc w:val="both"/>
              <w:rPr/>
            </w:pPr>
            <w:r>
              <w:rPr/>
              <w:t>Start concentrating on the long-term solutions rather than the short-term quick fix.</w:t>
            </w:r>
          </w:p>
          <w:p>
            <w:pPr>
              <w:pStyle w:val="Normal"/>
              <w:numPr>
                <w:ilvl w:val="0"/>
                <w:numId w:val="15"/>
              </w:numPr>
              <w:jc w:val="both"/>
              <w:rPr/>
            </w:pPr>
            <w:r>
              <w:rPr/>
              <w:t>Design and Implement reports that will allow us to better track all of the components of VM in a quantitative form.</w:t>
            </w:r>
          </w:p>
          <w:p>
            <w:pPr>
              <w:pStyle w:val="Normal"/>
              <w:numPr>
                <w:ilvl w:val="0"/>
                <w:numId w:val="15"/>
              </w:numPr>
              <w:jc w:val="both"/>
              <w:rPr/>
            </w:pPr>
            <w:r>
              <w:rPr/>
              <w:t>Set up a check and balance process that will allow us to identify and fix issues in their infancy.</w:t>
            </w:r>
          </w:p>
          <w:p>
            <w:pPr>
              <w:pStyle w:val="Normal"/>
              <w:numPr>
                <w:ilvl w:val="0"/>
                <w:numId w:val="15"/>
              </w:numPr>
              <w:jc w:val="both"/>
              <w:rPr/>
            </w:pPr>
            <w:r>
              <w:rPr/>
              <w:t>Standardize our procedures to allow for clear indicators as to what is or is not a material issue.</w:t>
            </w:r>
          </w:p>
          <w:p>
            <w:pPr>
              <w:pStyle w:val="Normal"/>
              <w:numPr>
                <w:ilvl w:val="0"/>
                <w:numId w:val="15"/>
              </w:numPr>
              <w:jc w:val="both"/>
              <w:rPr/>
            </w:pPr>
            <w:r>
              <w:rPr/>
              <w:t>Improve the communication within the VM group so that each member’s knowledge has the potential to improve the team as a whole.</w:t>
            </w:r>
          </w:p>
          <w:p>
            <w:pPr>
              <w:pStyle w:val="Normal"/>
              <w:numPr>
                <w:ilvl w:val="0"/>
                <w:numId w:val="15"/>
              </w:numPr>
              <w:jc w:val="both"/>
              <w:rPr/>
            </w:pPr>
            <w:r>
              <w:rPr/>
              <w:t>Become a major contributor to the success of the of the VMS/Razorfish project.</w:t>
            </w:r>
          </w:p>
          <w:p>
            <w:pPr>
              <w:pStyle w:val="Normal"/>
              <w:numPr>
                <w:ilvl w:val="0"/>
                <w:numId w:val="15"/>
              </w:numPr>
              <w:jc w:val="both"/>
              <w:rPr/>
            </w:pPr>
            <w:r>
              <w:rPr/>
              <w:t>Do what ever is necessary to ensure that all members of the team are given the tools to facilitate success in their given jobs.</w:t>
            </w:r>
          </w:p>
          <w:p>
            <w:pPr>
              <w:pStyle w:val="Normal"/>
              <w:numPr>
                <w:ilvl w:val="0"/>
                <w:numId w:val="15"/>
              </w:numPr>
              <w:jc w:val="both"/>
              <w:rPr/>
            </w:pPr>
            <w:r>
              <w:rPr/>
              <w:t>Have a clear and concise plan that can be clearly communicated to the VM group, so that they know exactly what goals have been set for the team in both the short and long term.</w:t>
            </w:r>
          </w:p>
          <w:p>
            <w:pPr>
              <w:pStyle w:val="Normal"/>
              <w:numPr>
                <w:ilvl w:val="0"/>
                <w:numId w:val="15"/>
              </w:numPr>
              <w:jc w:val="both"/>
              <w:rPr/>
            </w:pPr>
            <w:r>
              <w:rPr/>
              <w:t xml:space="preserve">Coordinate development of new VM process documentation with new VMS implementation. </w:t>
            </w:r>
          </w:p>
        </w:tc>
      </w:tr>
    </w:tbl>
    <w:p>
      <w:pPr>
        <w:pStyle w:val="Normal"/>
        <w:rPr/>
      </w:pPr>
      <w:r>
        <w:rPr/>
      </w:r>
    </w:p>
    <w:p>
      <w:pPr>
        <w:pStyle w:val="Normal"/>
        <w:rPr/>
      </w:pPr>
      <w:r>
        <w:rPr/>
      </w:r>
    </w:p>
    <w:tbl>
      <w:tblPr>
        <w:tblW w:w="10665" w:type="dxa"/>
        <w:jc w:val="start"/>
        <w:tblInd w:w="90" w:type="dxa"/>
        <w:tblLayout w:type="fixed"/>
        <w:tblCellMar>
          <w:top w:w="0" w:type="dxa"/>
          <w:start w:w="108" w:type="dxa"/>
          <w:bottom w:w="0" w:type="dxa"/>
          <w:end w:w="108" w:type="dxa"/>
        </w:tblCellMar>
      </w:tblPr>
      <w:tblGrid>
        <w:gridCol w:w="2205"/>
        <w:gridCol w:w="6315"/>
        <w:gridCol w:w="2145"/>
      </w:tblGrid>
      <w:tr>
        <w:trPr>
          <w:trHeight w:val="332" w:hRule="atLeast"/>
        </w:trPr>
        <w:tc>
          <w:tcPr>
            <w:tcW w:w="2205" w:type="dxa"/>
            <w:tcBorders>
              <w:top w:val="single" w:sz="4" w:space="0" w:color="000000"/>
              <w:start w:val="single" w:sz="4" w:space="0" w:color="000000"/>
              <w:end w:val="single" w:sz="4" w:space="0" w:color="000000"/>
            </w:tcBorders>
          </w:tcPr>
          <w:p>
            <w:pPr>
              <w:pStyle w:val="Normal"/>
              <w:rPr>
                <w:b/>
              </w:rPr>
            </w:pPr>
            <w:r>
              <w:rPr>
                <w:b/>
              </w:rPr>
              <w:t>Employee Name:</w:t>
            </w:r>
          </w:p>
        </w:tc>
        <w:tc>
          <w:tcPr>
            <w:tcW w:w="6315" w:type="dxa"/>
            <w:tcBorders>
              <w:top w:val="single" w:sz="4" w:space="0" w:color="000000"/>
              <w:start w:val="single" w:sz="4" w:space="0" w:color="000000"/>
              <w:end w:val="single" w:sz="4" w:space="0" w:color="000000"/>
            </w:tcBorders>
          </w:tcPr>
          <w:p>
            <w:pPr>
              <w:pStyle w:val="Normal"/>
              <w:rPr/>
            </w:pPr>
            <w:r>
              <w:rPr/>
              <w:t>Chris Stokley</w:t>
            </w:r>
          </w:p>
        </w:tc>
        <w:tc>
          <w:tcPr>
            <w:tcW w:w="2145" w:type="dxa"/>
            <w:tcBorders>
              <w:top w:val="single" w:sz="4" w:space="0" w:color="000000"/>
              <w:start w:val="single" w:sz="4" w:space="0" w:color="000000"/>
              <w:bottom w:val="single" w:sz="4" w:space="0" w:color="000000"/>
              <w:end w:val="single" w:sz="4" w:space="0" w:color="000000"/>
            </w:tcBorders>
          </w:tcPr>
          <w:p>
            <w:pPr>
              <w:pStyle w:val="Normal"/>
              <w:rPr/>
            </w:pPr>
            <w:r>
              <w:rPr>
                <w:b/>
              </w:rPr>
              <w:t>DATE:</w:t>
            </w:r>
            <w:r>
              <w:rPr/>
              <w:t xml:space="preserve">   01-27-2000</w:t>
            </w:r>
          </w:p>
          <w:p>
            <w:pPr>
              <w:pStyle w:val="Normal"/>
              <w:rPr/>
            </w:pPr>
            <w:r>
              <w:rPr/>
            </w:r>
          </w:p>
        </w:tc>
      </w:tr>
      <w:tr>
        <w:trPr>
          <w:trHeight w:val="422" w:hRule="atLeast"/>
        </w:trPr>
        <w:tc>
          <w:tcPr>
            <w:tcW w:w="2205" w:type="dxa"/>
            <w:tcBorders>
              <w:top w:val="single" w:sz="4" w:space="0" w:color="000000"/>
              <w:start w:val="single" w:sz="4" w:space="0" w:color="000000"/>
              <w:bottom w:val="single" w:sz="4" w:space="0" w:color="000000"/>
              <w:end w:val="single" w:sz="4" w:space="0" w:color="000000"/>
            </w:tcBorders>
          </w:tcPr>
          <w:p>
            <w:pPr>
              <w:pStyle w:val="Normal"/>
              <w:rPr>
                <w:b/>
              </w:rPr>
            </w:pPr>
            <w:r>
              <w:rPr>
                <w:b/>
              </w:rPr>
              <w:t>Review Period:</w:t>
            </w:r>
          </w:p>
        </w:tc>
        <w:tc>
          <w:tcPr>
            <w:tcW w:w="6315" w:type="dxa"/>
            <w:tcBorders>
              <w:top w:val="single" w:sz="4" w:space="0" w:color="000000"/>
              <w:start w:val="single" w:sz="4" w:space="0" w:color="000000"/>
              <w:bottom w:val="single" w:sz="4" w:space="0" w:color="000000"/>
              <w:end w:val="single" w:sz="4" w:space="0" w:color="000000"/>
            </w:tcBorders>
          </w:tcPr>
          <w:p>
            <w:pPr>
              <w:pStyle w:val="Normal"/>
              <w:rPr/>
            </w:pPr>
            <w:r>
              <w:rPr/>
              <w:t>06/01/2000 – 12/31/2000</w:t>
            </w:r>
          </w:p>
        </w:tc>
        <w:tc>
          <w:tcPr>
            <w:tcW w:w="2145" w:type="dxa"/>
            <w:tcBorders>
              <w:start w:val="single" w:sz="4" w:space="0" w:color="000000"/>
            </w:tcBorders>
          </w:tcPr>
          <w:p>
            <w:pPr>
              <w:pStyle w:val="Normal"/>
              <w:snapToGrid w:val="false"/>
              <w:rPr/>
            </w:pPr>
            <w:r>
              <w:rPr/>
            </w:r>
          </w:p>
        </w:tc>
      </w:tr>
    </w:tbl>
    <w:p>
      <w:pPr>
        <w:pStyle w:val="Normal"/>
        <w:rPr/>
      </w:pPr>
      <w:r>
        <w:rPr/>
      </w:r>
    </w:p>
    <w:p>
      <w:pPr>
        <w:pStyle w:val="Normal"/>
        <w:rPr>
          <w:b/>
        </w:rPr>
      </w:pPr>
      <w:r>
        <w:rPr>
          <w:b/>
        </w:rPr>
        <w:t>Next Three Months Expectations:</w:t>
      </w:r>
    </w:p>
    <w:tbl>
      <w:tblPr>
        <w:tblW w:w="10632" w:type="dxa"/>
        <w:jc w:val="start"/>
        <w:tblInd w:w="108" w:type="dxa"/>
        <w:tblLayout w:type="fixed"/>
        <w:tblCellMar>
          <w:top w:w="0" w:type="dxa"/>
          <w:start w:w="108" w:type="dxa"/>
          <w:bottom w:w="0" w:type="dxa"/>
          <w:end w:w="108" w:type="dxa"/>
        </w:tblCellMar>
      </w:tblPr>
      <w:tblGrid>
        <w:gridCol w:w="10632"/>
      </w:tblGrid>
      <w:tr>
        <w:trPr>
          <w:trHeight w:val="2310" w:hRule="atLeast"/>
        </w:trPr>
        <w:tc>
          <w:tcPr>
            <w:tcW w:w="10632"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Management:</w:t>
            </w:r>
          </w:p>
          <w:p>
            <w:pPr>
              <w:pStyle w:val="Normal"/>
              <w:numPr>
                <w:ilvl w:val="0"/>
                <w:numId w:val="3"/>
              </w:numPr>
              <w:rPr/>
            </w:pPr>
            <w:r>
              <w:rPr/>
              <w:t>Keep resources focused on the basics to ensure complete and accurate processing while also driving them to be visionary and thinking outside the box</w:t>
            </w:r>
          </w:p>
          <w:p>
            <w:pPr>
              <w:pStyle w:val="Normal"/>
              <w:numPr>
                <w:ilvl w:val="0"/>
                <w:numId w:val="3"/>
              </w:numPr>
              <w:rPr/>
            </w:pPr>
            <w:r>
              <w:rPr/>
              <w:t>Manage employee’s balance between professional and personal life.  There will always be work to be done.  Work with Volume Management team members to ensure they have the tools necessary to improve the efficiency in their jobs.  (Don’t let them burn out!!!)</w:t>
            </w:r>
          </w:p>
          <w:p>
            <w:pPr>
              <w:pStyle w:val="Normal"/>
              <w:numPr>
                <w:ilvl w:val="0"/>
                <w:numId w:val="3"/>
              </w:numPr>
              <w:rPr/>
            </w:pPr>
            <w:r>
              <w:rPr/>
              <w:t xml:space="preserve">Come up with incentive plan for employees to stay in Volume Management. </w:t>
            </w:r>
          </w:p>
          <w:p>
            <w:pPr>
              <w:pStyle w:val="Normal"/>
              <w:numPr>
                <w:ilvl w:val="0"/>
                <w:numId w:val="3"/>
              </w:numPr>
              <w:rPr/>
            </w:pPr>
            <w:r>
              <w:rPr/>
              <w:t>Hire smart, hungry people into the group  (Hire two resources by end of March and plan for two more by end of May)</w:t>
            </w:r>
          </w:p>
          <w:p>
            <w:pPr>
              <w:pStyle w:val="Normal"/>
              <w:numPr>
                <w:ilvl w:val="0"/>
                <w:numId w:val="3"/>
              </w:numPr>
              <w:rPr/>
            </w:pPr>
            <w:r>
              <w:rPr/>
              <w:t>Provide training  to increase the skill level in the group</w:t>
            </w:r>
          </w:p>
          <w:p>
            <w:pPr>
              <w:pStyle w:val="Normal"/>
              <w:numPr>
                <w:ilvl w:val="0"/>
                <w:numId w:val="3"/>
              </w:numPr>
              <w:rPr/>
            </w:pPr>
            <w:r>
              <w:rPr/>
              <w:t xml:space="preserve">With the Volume Management function developing into a global need, focus on developing talented people who can move within the company </w:t>
            </w:r>
          </w:p>
          <w:p>
            <w:pPr>
              <w:pStyle w:val="Normal"/>
              <w:numPr>
                <w:ilvl w:val="0"/>
                <w:numId w:val="11"/>
              </w:numPr>
              <w:rPr/>
            </w:pPr>
            <w:r>
              <w:rPr/>
              <w:t>Ensure that the road blocks preventing Volume Management employee’s from achieving the objectives are addressed and ensure that all team milestones are being met</w:t>
            </w:r>
          </w:p>
          <w:p>
            <w:pPr>
              <w:pStyle w:val="Normal"/>
              <w:numPr>
                <w:ilvl w:val="0"/>
                <w:numId w:val="12"/>
              </w:numPr>
              <w:rPr/>
            </w:pPr>
            <w:r>
              <w:rPr/>
              <w:t>Be a positive role model for others in the group</w:t>
            </w:r>
          </w:p>
          <w:p>
            <w:pPr>
              <w:pStyle w:val="Normal"/>
              <w:rPr/>
            </w:pPr>
            <w:r>
              <w:rPr/>
            </w:r>
          </w:p>
          <w:p>
            <w:pPr>
              <w:pStyle w:val="Normal"/>
              <w:rPr>
                <w:b/>
                <w:u w:val="single"/>
              </w:rPr>
            </w:pPr>
            <w:r>
              <w:rPr>
                <w:b/>
                <w:u w:val="single"/>
              </w:rPr>
              <w:t>Task / Activity:</w:t>
            </w:r>
          </w:p>
          <w:p>
            <w:pPr>
              <w:pStyle w:val="Normal"/>
              <w:numPr>
                <w:ilvl w:val="0"/>
                <w:numId w:val="8"/>
              </w:numPr>
              <w:rPr/>
            </w:pPr>
            <w:r>
              <w:rPr/>
              <w:t>Develop a West Desk Volume Management plan. (Where are you,  What do you want to achieve, How are you going to achieve it,  Who is going to participate or be accountable)</w:t>
            </w:r>
          </w:p>
          <w:p>
            <w:pPr>
              <w:pStyle w:val="Normal"/>
              <w:numPr>
                <w:ilvl w:val="0"/>
                <w:numId w:val="5"/>
              </w:numPr>
              <w:rPr/>
            </w:pPr>
            <w:r>
              <w:rPr/>
              <w:t>Work with Razorfish to ensure that they have all the requirements and flexibility needed in the new Volume Management application to address the needs of the West Desk Volume Management group</w:t>
            </w:r>
          </w:p>
          <w:p>
            <w:pPr>
              <w:pStyle w:val="Normal"/>
              <w:numPr>
                <w:ilvl w:val="0"/>
                <w:numId w:val="3"/>
              </w:numPr>
              <w:rPr/>
            </w:pPr>
            <w:r>
              <w:rPr/>
              <w:t>Improve Operational Analysis processes for Power (Implement control tools to prevent Un-accounted For in the G/L</w:t>
            </w:r>
          </w:p>
          <w:p>
            <w:pPr>
              <w:pStyle w:val="Normal"/>
              <w:numPr>
                <w:ilvl w:val="0"/>
                <w:numId w:val="11"/>
              </w:numPr>
              <w:rPr/>
            </w:pPr>
            <w:r>
              <w:rPr/>
              <w:t>Deliver Management level reports to indicate Average costs by charge reflecting actual information for past trading periods 13 months ago, 1 month ago, 1 week ago, yesterday and estimates for today and tomorrow</w:t>
            </w:r>
          </w:p>
          <w:p>
            <w:pPr>
              <w:pStyle w:val="Normal"/>
              <w:numPr>
                <w:ilvl w:val="0"/>
                <w:numId w:val="8"/>
              </w:numPr>
              <w:rPr/>
            </w:pPr>
            <w:r>
              <w:rPr/>
              <w:t>Establish standardized management level reporting out of Volume Management (# of Transactions, by Market Type, Manual Transactions vs. Automated Transactions, % Accuracy level of estimates and actualization’s, Resource allocation by deal types and markets,</w:t>
            </w:r>
          </w:p>
          <w:p>
            <w:pPr>
              <w:pStyle w:val="Normal"/>
              <w:numPr>
                <w:ilvl w:val="0"/>
                <w:numId w:val="8"/>
              </w:numPr>
              <w:rPr/>
            </w:pPr>
            <w:r>
              <w:rPr/>
              <w:t>Implement Deal Terms Database</w:t>
            </w:r>
          </w:p>
          <w:p>
            <w:pPr>
              <w:pStyle w:val="Normal"/>
              <w:numPr>
                <w:ilvl w:val="0"/>
                <w:numId w:val="8"/>
              </w:numPr>
              <w:rPr/>
            </w:pPr>
            <w:r>
              <w:rPr/>
              <w:t>Implement Settlement History Database and have the VM group start tracking settlement</w:t>
            </w:r>
          </w:p>
          <w:p>
            <w:pPr>
              <w:pStyle w:val="Normal"/>
              <w:numPr>
                <w:ilvl w:val="0"/>
                <w:numId w:val="8"/>
              </w:numPr>
              <w:rPr/>
            </w:pPr>
            <w:r>
              <w:rPr/>
              <w:t>Attend advanced excel training</w:t>
            </w:r>
          </w:p>
          <w:p>
            <w:pPr>
              <w:pStyle w:val="Normal"/>
              <w:numPr>
                <w:ilvl w:val="0"/>
                <w:numId w:val="10"/>
              </w:numPr>
              <w:rPr/>
            </w:pPr>
            <w:r>
              <w:rPr/>
              <w:t>Start publishing weekly status reports</w:t>
            </w:r>
          </w:p>
          <w:p>
            <w:pPr>
              <w:pStyle w:val="Normal"/>
              <w:numPr>
                <w:ilvl w:val="0"/>
                <w:numId w:val="1"/>
              </w:numPr>
              <w:rPr/>
            </w:pPr>
            <w:r>
              <w:rPr/>
              <w:t>Put together Job Descriptions for Existing and New Positions in VMS (PDX)</w:t>
            </w:r>
          </w:p>
          <w:p>
            <w:pPr>
              <w:pStyle w:val="Normal"/>
              <w:numPr>
                <w:ilvl w:val="0"/>
                <w:numId w:val="18"/>
              </w:numPr>
              <w:rPr/>
            </w:pPr>
            <w:r>
              <w:rPr/>
              <w:t>Have VM rep participation in ISO MIF / SIT meetings</w:t>
            </w:r>
          </w:p>
          <w:p>
            <w:pPr>
              <w:pStyle w:val="Normal"/>
              <w:numPr>
                <w:ilvl w:val="0"/>
                <w:numId w:val="14"/>
              </w:numPr>
              <w:rPr/>
            </w:pPr>
            <w:r>
              <w:rPr/>
              <w:t>Start Having Staff Meeting and including Kathy Sheppard</w:t>
            </w:r>
          </w:p>
          <w:p>
            <w:pPr>
              <w:pStyle w:val="Normal"/>
              <w:numPr>
                <w:ilvl w:val="0"/>
                <w:numId w:val="9"/>
              </w:numPr>
              <w:rPr/>
            </w:pPr>
            <w:r>
              <w:rPr/>
              <w:t>Data cleanup in FSP tables.  (Missing counterparties, Records not locked missing PX transactions…  Need to be clean by 2/23/01)</w:t>
            </w:r>
          </w:p>
          <w:p>
            <w:pPr>
              <w:pStyle w:val="Normal"/>
              <w:numPr>
                <w:ilvl w:val="0"/>
                <w:numId w:val="16"/>
              </w:numPr>
              <w:rPr/>
            </w:pPr>
            <w:r>
              <w:rPr/>
              <w:t>Finalize VM Services Pricing Matrix which Harvey started</w:t>
            </w:r>
          </w:p>
          <w:p>
            <w:pPr>
              <w:pStyle w:val="Normal"/>
              <w:rPr/>
            </w:pPr>
            <w:r>
              <w:rPr/>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1908"/>
        <w:gridCol w:w="6030"/>
        <w:gridCol w:w="720"/>
        <w:gridCol w:w="1782"/>
      </w:tblGrid>
      <w:tr>
        <w:trPr/>
        <w:tc>
          <w:tcPr>
            <w:tcW w:w="1908" w:type="dxa"/>
            <w:tcBorders/>
          </w:tcPr>
          <w:p>
            <w:pPr>
              <w:pStyle w:val="Normal"/>
              <w:rPr/>
            </w:pPr>
            <w:r>
              <w:rPr/>
              <w:t>Reviewer Signature:</w:t>
            </w:r>
          </w:p>
        </w:tc>
        <w:tc>
          <w:tcPr>
            <w:tcW w:w="6030" w:type="dxa"/>
            <w:tcBorders/>
          </w:tcPr>
          <w:p>
            <w:pPr>
              <w:pStyle w:val="Normal"/>
              <w:snapToGrid w:val="false"/>
              <w:rPr/>
            </w:pPr>
            <w:r>
              <w:rPr/>
            </w:r>
          </w:p>
        </w:tc>
        <w:tc>
          <w:tcPr>
            <w:tcW w:w="720" w:type="dxa"/>
            <w:tcBorders/>
          </w:tcPr>
          <w:p>
            <w:pPr>
              <w:pStyle w:val="Normal"/>
              <w:rPr/>
            </w:pPr>
            <w:r>
              <w:rPr/>
              <w:t>Date:</w:t>
            </w:r>
          </w:p>
        </w:tc>
        <w:tc>
          <w:tcPr>
            <w:tcW w:w="1782" w:type="dxa"/>
            <w:tcBorders/>
          </w:tcPr>
          <w:p>
            <w:pPr>
              <w:pStyle w:val="Normal"/>
              <w:snapToGrid w:val="false"/>
              <w:rPr/>
            </w:pPr>
            <w:r>
              <w:rPr/>
            </w:r>
          </w:p>
        </w:tc>
      </w:tr>
      <w:tr>
        <w:trPr/>
        <w:tc>
          <w:tcPr>
            <w:tcW w:w="1908" w:type="dxa"/>
            <w:tcBorders/>
          </w:tcPr>
          <w:p>
            <w:pPr>
              <w:pStyle w:val="Normal"/>
              <w:snapToGrid w:val="false"/>
              <w:rPr/>
            </w:pPr>
            <w:r>
              <w:rPr/>
            </w:r>
          </w:p>
          <w:p>
            <w:pPr>
              <w:pStyle w:val="Normal"/>
              <w:rPr/>
            </w:pPr>
            <w:r>
              <w:rPr/>
              <w:t>Employee Signature:</w:t>
            </w:r>
          </w:p>
        </w:tc>
        <w:tc>
          <w:tcPr>
            <w:tcW w:w="6030" w:type="dxa"/>
            <w:tcBorders>
              <w:top w:val="single" w:sz="4" w:space="0" w:color="000000"/>
            </w:tcBorders>
          </w:tcPr>
          <w:p>
            <w:pPr>
              <w:pStyle w:val="Normal"/>
              <w:snapToGrid w:val="false"/>
              <w:rPr/>
            </w:pPr>
            <w:r>
              <w:rPr/>
            </w:r>
          </w:p>
        </w:tc>
        <w:tc>
          <w:tcPr>
            <w:tcW w:w="720" w:type="dxa"/>
            <w:tcBorders/>
          </w:tcPr>
          <w:p>
            <w:pPr>
              <w:pStyle w:val="Normal"/>
              <w:snapToGrid w:val="false"/>
              <w:rPr/>
            </w:pPr>
            <w:r>
              <w:rPr/>
            </w:r>
          </w:p>
          <w:p>
            <w:pPr>
              <w:pStyle w:val="Normal"/>
              <w:rPr/>
            </w:pPr>
            <w:r>
              <w:rPr/>
              <w:t>Date:</w:t>
            </w:r>
          </w:p>
        </w:tc>
        <w:tc>
          <w:tcPr>
            <w:tcW w:w="1782" w:type="dxa"/>
            <w:tcBorders>
              <w:top w:val="single" w:sz="4" w:space="0" w:color="000000"/>
            </w:tcBorders>
          </w:tcPr>
          <w:p>
            <w:pPr>
              <w:pStyle w:val="Normal"/>
              <w:snapToGrid w:val="false"/>
              <w:rPr/>
            </w:pPr>
            <w:r>
              <w:rPr/>
            </w:r>
          </w:p>
        </w:tc>
      </w:tr>
      <w:tr>
        <w:trPr/>
        <w:tc>
          <w:tcPr>
            <w:tcW w:w="1908" w:type="dxa"/>
            <w:tcBorders/>
          </w:tcPr>
          <w:p>
            <w:pPr>
              <w:pStyle w:val="Normal"/>
              <w:snapToGrid w:val="false"/>
              <w:rPr/>
            </w:pPr>
            <w:r>
              <w:rPr/>
            </w:r>
          </w:p>
        </w:tc>
        <w:tc>
          <w:tcPr>
            <w:tcW w:w="6030" w:type="dxa"/>
            <w:tcBorders>
              <w:top w:val="single" w:sz="4" w:space="0" w:color="000000"/>
            </w:tcBorders>
          </w:tcPr>
          <w:p>
            <w:pPr>
              <w:pStyle w:val="Header"/>
              <w:tabs>
                <w:tab w:val="clear" w:pos="4320"/>
                <w:tab w:val="clear" w:pos="8640"/>
              </w:tabs>
              <w:rPr/>
            </w:pPr>
            <w:r>
              <w:rPr/>
              <w:t>(Signature acknowledges discussion only, does not signify agreement)</w:t>
            </w:r>
          </w:p>
        </w:tc>
        <w:tc>
          <w:tcPr>
            <w:tcW w:w="720" w:type="dxa"/>
            <w:tcBorders/>
          </w:tcPr>
          <w:p>
            <w:pPr>
              <w:pStyle w:val="Normal"/>
              <w:snapToGrid w:val="false"/>
              <w:rPr/>
            </w:pPr>
            <w:r>
              <w:rPr/>
            </w:r>
          </w:p>
        </w:tc>
        <w:tc>
          <w:tcPr>
            <w:tcW w:w="1782" w:type="dxa"/>
            <w:tcBorders>
              <w:top w:val="single" w:sz="4" w:space="0" w:color="000000"/>
            </w:tcBorders>
          </w:tcPr>
          <w:p>
            <w:pPr>
              <w:pStyle w:val="Normal"/>
              <w:snapToGrid w:val="false"/>
              <w:rPr/>
            </w:pPr>
            <w:r>
              <w:rPr/>
            </w:r>
          </w:p>
        </w:tc>
      </w:tr>
    </w:tbl>
    <w:p>
      <w:pPr>
        <w:pStyle w:val="Header"/>
        <w:tabs>
          <w:tab w:val="clear" w:pos="4320"/>
          <w:tab w:val="clear" w:pos="8640"/>
        </w:tabs>
        <w:rPr/>
      </w:pPr>
      <w:r>
        <w:rPr/>
      </w:r>
    </w:p>
    <w:sectPr>
      <w:headerReference w:type="default" r:id="rId2"/>
      <w:footerReference w:type="default" r:id="rId3"/>
      <w:type w:val="nextPage"/>
      <w:pgSz w:w="12240" w:h="15840"/>
      <w:pgMar w:left="1008" w:right="1008"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tcPr>
        <w:p>
          <w:pPr>
            <w:pStyle w:val="Footer"/>
            <w:rPr/>
          </w:pPr>
          <w:r>
            <w:rPr>
              <w:lang w:eastAsia="en-US"/>
            </w:rPr>
            <w:fldChar w:fldCharType="begin"/>
          </w:r>
          <w:r>
            <w:rPr>
              <w:lang w:eastAsia="en-US"/>
            </w:rPr>
            <w:instrText xml:space="preserve"> FILENAME </w:instrText>
          </w:r>
          <w:r>
            <w:rPr>
              <w:lang w:eastAsia="en-US"/>
            </w:rPr>
            <w:fldChar w:fldCharType="separate"/>
          </w:r>
          <w:r>
            <w:rPr>
              <w:lang w:eastAsia="en-US"/>
            </w:rPr>
            <w:t>CS4thQTR.doc</w:t>
          </w:r>
          <w:r>
            <w:rPr>
              <w:lang w:eastAsia="en-US"/>
            </w:rPr>
            <w:fldChar w:fldCharType="end"/>
          </w: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tc>
      <w:tc>
        <w:tcPr>
          <w:tcW w:w="348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tc>
      <w:tc>
        <w:tcPr>
          <w:tcW w:w="3480" w:type="dxa"/>
          <w:tcBorders/>
        </w:tcPr>
        <w:p>
          <w:pPr>
            <w:pStyle w:val="Footer"/>
            <w:jc w:val="end"/>
            <w:rPr/>
          </w:pP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8:20 AM</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1458"/>
      <w:gridCol w:w="7470"/>
      <w:gridCol w:w="1512"/>
    </w:tblGrid>
    <w:tr>
      <w:trPr/>
      <w:tc>
        <w:tcPr>
          <w:tcW w:w="1458" w:type="dxa"/>
          <w:tcBorders/>
        </w:tcPr>
        <w:p>
          <w:pPr>
            <w:pStyle w:val="Header"/>
            <w:rPr/>
          </w:pPr>
          <w:r>
            <w:rPr/>
            <w:drawing>
              <wp:inline distT="0" distB="0" distL="0" distR="0">
                <wp:extent cx="685800" cy="685800"/>
                <wp:effectExtent l="0" t="0" r="0" b="0"/>
                <wp:docPr id="1" name="sml_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l_e" descr="" title=""/>
                        <pic:cNvPicPr>
                          <a:picLocks noChangeAspect="1" noChangeArrowheads="1"/>
                        </pic:cNvPicPr>
                      </pic:nvPicPr>
                      <pic:blipFill>
                        <a:blip r:embed="rId1"/>
                        <a:srcRect l="-52" t="-52" r="-52" b="-52"/>
                        <a:stretch>
                          <a:fillRect/>
                        </a:stretch>
                      </pic:blipFill>
                      <pic:spPr bwMode="auto">
                        <a:xfrm>
                          <a:off x="0" y="0"/>
                          <a:ext cx="685800" cy="685800"/>
                        </a:xfrm>
                        <a:prstGeom prst="rect">
                          <a:avLst/>
                        </a:prstGeom>
                        <a:noFill/>
                      </pic:spPr>
                    </pic:pic>
                  </a:graphicData>
                </a:graphic>
              </wp:inline>
            </w:drawing>
          </w:r>
        </w:p>
      </w:tc>
      <w:tc>
        <w:tcPr>
          <w:tcW w:w="7470" w:type="dxa"/>
          <w:tcBorders/>
        </w:tcPr>
        <w:p>
          <w:pPr>
            <w:pStyle w:val="Heading"/>
            <w:rPr/>
          </w:pPr>
          <w:r>
            <w:rPr/>
            <w:t>West Power Desk</w:t>
          </w:r>
        </w:p>
        <w:p>
          <w:pPr>
            <w:pStyle w:val="Heading"/>
            <w:rPr/>
          </w:pPr>
          <w:r>
            <w:rPr/>
            <w:t>Employee</w:t>
          </w:r>
        </w:p>
        <w:p>
          <w:pPr>
            <w:pStyle w:val="Heading"/>
            <w:rPr/>
          </w:pPr>
          <w:r>
            <w:rPr/>
            <w:t xml:space="preserve"> </w:t>
          </w:r>
          <w:r>
            <w:rPr/>
            <w:t>Quarterly Performance Review</w:t>
          </w:r>
        </w:p>
      </w:tc>
      <w:tc>
        <w:tcPr>
          <w:tcW w:w="1512" w:type="dxa"/>
          <w:tcBorders/>
        </w:tcPr>
        <w:p>
          <w:pPr>
            <w:pStyle w:val="Header"/>
            <w:snapToGrid w:val="false"/>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270" w:end="0"/>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2001-02-11T21:06:00Z</dcterms:created>
  <dc:creator>moneil</dc:creator>
  <dc:description/>
  <dc:language>en-CA</dc:language>
  <cp:lastModifiedBy>moneil</cp:lastModifiedBy>
  <cp:lastPrinted>2001-02-16T09:51:00Z</cp:lastPrinted>
  <dcterms:modified xsi:type="dcterms:W3CDTF">2001-02-16T15:23:00Z</dcterms:modified>
  <cp:revision>12</cp:revision>
  <dc:subject/>
  <dc:title>Quarterly Performance Review</dc:title>
</cp:coreProperties>
</file>