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-118110</wp:posOffset>
                </wp:positionV>
                <wp:extent cx="2324735" cy="2476500"/>
                <wp:effectExtent l="0" t="0" r="0" b="0"/>
                <wp:wrapNone/>
                <wp:docPr id="1" name="Frame1"/>
                <a:graphic xmlns:a="http://schemas.openxmlformats.org/drawingml/2006/main">
                  <a:graphicData uri="http://schemas.microsoft.com/office/word/2010/wordprocessingShape">
                    <wps:wsp>
                      <wps:cNvSpPr txBox="1"/>
                      <wps:spPr>
                        <a:xfrm>
                          <a:off x="0" y="0"/>
                          <a:ext cx="2324735" cy="2476500"/>
                        </a:xfrm>
                        <a:prstGeom prst="rect"/>
                        <a:solidFill>
                          <a:srgbClr val="FFFFFF">
                            <a:alpha val="0"/>
                          </a:srgbClr>
                        </a:solidFill>
                      </wps:spPr>
                      <wps:txbx>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95pt;mso-wrap-distance-left:9.05pt;mso-wrap-distance-right:9.05pt;mso-wrap-distance-top:0pt;mso-wrap-distance-bottom:0pt;margin-top:-9.3pt;mso-position-vertical-relative:text;margin-left:-28.8pt;mso-position-horizontal-relative:margin">
                <v:fill opacity="0f"/>
                <v:textbox inset="0.000694444444444445in,0.000694444444444445in,0.000694444444444445in,0.000694444444444445in">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tabs>
          <w:tab w:val="clear" w:pos="1440"/>
          <w:tab w:val="left" w:pos="-720" w:leader="none"/>
        </w:tabs>
        <w:suppressAutoHyphens w:val="true"/>
        <w:ind w:start="1008" w:end="0"/>
        <w:jc w:val="both"/>
        <w:rPr>
          <w:spacing w:val="-3"/>
          <w:sz w:val="28"/>
        </w:rPr>
      </w:pPr>
      <w:r>
        <w:rPr>
          <w:spacing w:val="-3"/>
          <w:sz w:val="28"/>
        </w:rPr>
      </w:r>
    </w:p>
    <w:p>
      <w:pPr>
        <w:pStyle w:val="Normal"/>
        <w:tabs>
          <w:tab w:val="left" w:pos="-720" w:leader="none"/>
          <w:tab w:val="left" w:pos="1440" w:leader="none"/>
        </w:tabs>
        <w:suppressAutoHyphens w:val="true"/>
        <w:ind w:start="1008" w:end="0"/>
        <w:jc w:val="both"/>
        <w:rPr>
          <w:spacing w:val="-3"/>
          <w:sz w:val="28"/>
        </w:rPr>
      </w:pPr>
      <w:r>
        <w:rPr>
          <w:spacing w:val="-3"/>
          <w:sz w:val="28"/>
        </w:rPr>
      </w:r>
    </w:p>
    <w:p>
      <w:pPr>
        <w:pStyle w:val="Normal"/>
        <w:tabs>
          <w:tab w:val="left" w:pos="-720" w:leader="none"/>
          <w:tab w:val="left" w:pos="1440" w:leader="none"/>
        </w:tabs>
        <w:suppressAutoHyphens w:val="true"/>
        <w:ind w:start="1008" w:end="0"/>
        <w:rPr>
          <w:spacing w:val="-3"/>
          <w:sz w:val="28"/>
        </w:rPr>
      </w:pPr>
      <w:r>
        <w:rPr>
          <w:rFonts w:eastAsia="Century Schoolbook"/>
          <w:spacing w:val="-3"/>
          <w:sz w:val="28"/>
        </w:rPr>
        <w:t xml:space="preserve"> </w:t>
      </w:r>
      <w:r>
        <w:rPr>
          <w:i/>
          <w:spacing w:val="-7"/>
          <w:sz w:val="48"/>
        </w:rPr>
        <w:t xml:space="preserve">Western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Systems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Coordinating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Council</w:t>
      </w:r>
    </w:p>
    <w:p>
      <w:pPr>
        <w:pStyle w:val="Normal"/>
        <w:rPr>
          <w:spacing w:val="-3"/>
          <w:sz w:val="28"/>
        </w:rPr>
      </w:pPr>
      <w:r>
        <w:rPr>
          <w:spacing w:val="-3"/>
          <w:sz w:val="28"/>
        </w:rPr>
      </w:r>
    </w:p>
    <w:p>
      <w:pPr>
        <w:pStyle w:val="Index1"/>
        <w:tabs>
          <w:tab w:val="left" w:pos="1440" w:leader="none"/>
          <w:tab w:val="center" w:pos="7470" w:leader="none"/>
        </w:tabs>
        <w:spacing w:before="0" w:after="0"/>
        <w:ind w:end="1890"/>
        <w:rPr>
          <w:rFonts w:ascii="Times New Roman" w:hAnsi="Times New Roman" w:cs="Times New Roman"/>
          <w:caps w:val="false"/>
          <w:smallCaps w:val="false"/>
          <w:sz w:val="18"/>
        </w:rPr>
      </w:pPr>
      <w:r>
        <w:rPr>
          <w:rFonts w:cs="Times New Roman" w:ascii="Times New Roman" w:hAnsi="Times New Roman"/>
          <w:caps w:val="false"/>
          <w:smallCaps w:val="false"/>
          <w:sz w:val="18"/>
        </w:rPr>
        <w:tab/>
        <w:tab/>
        <w:t>PAUL F. BARBER</w:t>
      </w:r>
    </w:p>
    <w:p>
      <w:pPr>
        <w:pStyle w:val="Normal"/>
        <w:tabs>
          <w:tab w:val="left" w:pos="1440" w:leader="none"/>
          <w:tab w:val="center" w:pos="7470" w:leader="none"/>
        </w:tabs>
        <w:ind w:end="1890"/>
        <w:rPr/>
      </w:pPr>
      <w:r>
        <w:rPr/>
        <w:tab/>
        <w:tab/>
      </w:r>
      <w:r>
        <w:rPr>
          <w:rFonts w:cs="Times New Roman" w:ascii="Times New Roman" w:hAnsi="Times New Roman"/>
          <w:sz w:val="14"/>
        </w:rPr>
        <w:t>VICE CHAIRMAN</w:t>
      </w:r>
    </w:p>
    <w:p>
      <w:pPr>
        <w:pStyle w:val="Index1"/>
        <w:tabs>
          <w:tab w:val="left" w:pos="1440" w:leader="none"/>
          <w:tab w:val="center" w:pos="7470" w:leader="none"/>
        </w:tabs>
        <w:spacing w:before="120" w:after="0"/>
        <w:ind w:end="1890"/>
        <w:rPr/>
      </w:pPr>
      <w:r>
        <w:rPr>
          <w:caps w:val="false"/>
          <w:smallCaps w:val="false"/>
        </w:rPr>
        <w:tab/>
        <w:tab/>
      </w:r>
      <w:r>
        <w:rPr>
          <w:rFonts w:cs="Times New Roman" w:ascii="Times New Roman" w:hAnsi="Times New Roman"/>
          <w:sz w:val="14"/>
        </w:rPr>
        <w:t>edison mission marketing &amp; trading</w:t>
      </w:r>
    </w:p>
    <w:p>
      <w:pPr>
        <w:pStyle w:val="BodyText2"/>
        <w:tabs>
          <w:tab w:val="left" w:pos="1440" w:leader="none"/>
          <w:tab w:val="center" w:pos="7470" w:leader="none"/>
        </w:tabs>
        <w:ind w:start="5400" w:end="1890"/>
        <w:rPr/>
      </w:pPr>
      <w:r>
        <w:rPr/>
        <w:tab/>
        <w:t>160 FEDERAL STREET</w:t>
      </w:r>
    </w:p>
    <w:p>
      <w:pPr>
        <w:pStyle w:val="BodyText2"/>
        <w:tabs>
          <w:tab w:val="left" w:pos="1440" w:leader="none"/>
          <w:tab w:val="center" w:pos="7470" w:leader="none"/>
        </w:tabs>
        <w:ind w:start="5400" w:end="1890"/>
        <w:rPr/>
      </w:pPr>
      <w:r>
        <w:rPr/>
        <w:tab/>
        <w:t>BOSTON, MASSACHUSETTS 02110-1776</w:t>
      </w:r>
    </w:p>
    <w:p>
      <w:pPr>
        <w:pStyle w:val="BodyText2"/>
        <w:tabs>
          <w:tab w:val="left" w:pos="1440" w:leader="none"/>
          <w:tab w:val="center" w:pos="7470" w:leader="none"/>
        </w:tabs>
        <w:ind w:start="5400" w:end="1890"/>
        <w:rPr/>
      </w:pPr>
      <w:r>
        <w:rPr/>
        <w:tab/>
        <w:t>TEL: (617) 912-6052</w:t>
      </w:r>
    </w:p>
    <w:p>
      <w:pPr>
        <w:pStyle w:val="BodyText2"/>
        <w:tabs>
          <w:tab w:val="left" w:pos="1440" w:leader="none"/>
          <w:tab w:val="center" w:pos="7470" w:leader="none"/>
        </w:tabs>
        <w:ind w:start="5400" w:end="1890"/>
        <w:rPr/>
      </w:pPr>
      <w:r>
        <w:rPr/>
        <w:tab/>
        <w:t>FAX: (617) 912-6003</w:t>
      </w:r>
    </w:p>
    <w:p>
      <w:pPr>
        <w:pStyle w:val="BodyText2"/>
        <w:tabs>
          <w:tab w:val="left" w:pos="1440" w:leader="none"/>
          <w:tab w:val="center" w:pos="7470" w:leader="none"/>
        </w:tabs>
        <w:ind w:start="5400" w:end="1890"/>
        <w:rPr/>
      </w:pPr>
      <w:r>
        <w:rPr/>
        <w:tab/>
        <w:t xml:space="preserve">EM: </w:t>
      </w:r>
      <w:hyperlink r:id="rId4">
        <w:r>
          <w:rPr>
            <w:rStyle w:val="Hyperlink"/>
          </w:rPr>
          <w:t>PBarber@EdisonMission.com</w:t>
        </w:r>
      </w:hyperlink>
    </w:p>
    <w:p>
      <w:pPr>
        <w:pStyle w:val="BodyText2"/>
        <w:tabs>
          <w:tab w:val="left" w:pos="1440" w:leader="none"/>
          <w:tab w:val="center" w:pos="7470" w:leader="none"/>
        </w:tabs>
        <w:ind w:start="5400" w:end="1890"/>
        <w:rPr/>
      </w:pPr>
      <w:r>
        <w:rPr/>
      </w:r>
    </w:p>
    <w:p>
      <w:pPr>
        <w:pStyle w:val="Index1"/>
        <w:spacing w:before="0" w:after="0"/>
        <w:rPr>
          <w:rFonts w:ascii="Times New Roman" w:hAnsi="Times New Roman" w:cs="Times New Roman"/>
          <w:caps w:val="false"/>
          <w:smallCaps w:val="false"/>
        </w:rPr>
      </w:pPr>
      <w:r>
        <w:rPr>
          <w:rFonts w:cs="Times New Roman" w:ascii="Times New Roman" w:hAnsi="Times New Roman"/>
          <w:caps w:val="false"/>
          <w:smallCaps w:val="false"/>
        </w:rPr>
      </w:r>
    </w:p>
    <w:p>
      <w:pPr>
        <w:pStyle w:val="Index1"/>
        <w:spacing w:before="0" w:after="0"/>
        <w:rPr>
          <w:rFonts w:ascii="Times New Roman" w:hAnsi="Times New Roman" w:cs="Times New Roman"/>
          <w:caps w:val="false"/>
          <w:smallCaps w:val="false"/>
        </w:rPr>
      </w:pPr>
      <w:r>
        <w:rPr>
          <w:rFonts w:cs="Times New Roman" w:ascii="Times New Roman" w:hAnsi="Times New Roman"/>
          <w:caps w:val="false"/>
          <w:smallCaps w:val="false"/>
        </w:rPr>
        <w:t>November 20, 2000</w:t>
      </w:r>
    </w:p>
    <w:p>
      <w:pPr>
        <w:pStyle w:val="Normal"/>
        <w:rPr>
          <w:rFonts w:ascii="Times New Roman" w:hAnsi="Times New Roman" w:cs="Times New Roman"/>
          <w:caps/>
        </w:rPr>
      </w:pPr>
      <w:r>
        <w:rPr>
          <w:rFonts w:cs="Times New Roman" w:ascii="Times New Roman" w:hAnsi="Times New Roman"/>
          <w:cap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COUNCIL REPRESENTATIVES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Executive Policy Issues Task Force (EPITF) has worked extremely hard with the WSCC members for nearly two years to achieve consensus on an Alternative Disputed Resolution (ADR) process.  I am now requesting your support for the approval of the proposed WSCC ADR process at WSCC’s Annual Meeting in December.  I believe the approval of this process will help expedite the resolution of contentious issues and minimize potential anti-trust legal problems for WSCC and its members.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October and November of 1999 and in February and July of 2000, I distributed an Alternative Dispute Resolution (ADR) proposal to you on behalf of the Executive Policy Issues Task Force (EPITF) and solicited your comments.  After each round of comments the EPITF addressed each and every comment and concern in its effort to develop a balanced, and yet effective ADR Process upon which we could reach consensus.  Based on the comments I have received, I believe we have reached sufficient consensus to have the members consider and approve our ADR proposal.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attached proposal has been drafted recognizing that as we move to a restructured and competitive industry, many believe the industry and its organizations like WSCC will be faced with an unprecedented number of very serious, contentious and potentially divisive issues and disputes which must be resolved in a fair and expeditious manner.  Furthermore, there continues to be a general concern that these disputes will become more pressing and if not addressed appropriately, there may be significant legal risks to the Council and its members associated with attempting to resolve contentious issues.  There is also concern that we will have no alternative other than to continue our reliance on lengthy and costly federal regulatory processes or the judicial system.  It is also important to again note that FERC has, on numerous occasions, made it very clear it wants the industry to resolve as many issues as possible before bringing them to the Commission.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My previous letters to you indicated that we have the option of continuing in the status quo mode where we attempt to resolve disputes using WSCC’s Board of Trustees and/or the organization’s committee structure.  However, I am concerned that this approach will place the Board and committees in an untenable position, and that it will continue to be very divisive as was demonstrated in the Alturas issue.  Associated with this type of approach is the distinct possibility of raising anti-trust problems for WSCC and its members.  Consequently, I do not believe we should expose our Board and our committees to continuing pressures to resolve specific disputes which would be more appropriately handled by an ADR process.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 also suggested we could be proactive and recognize the need to establish a WSCC mediation and arbitration process for resolving the industry’s disputes which fall under the scope of WSCC activities.  This approach could be a neutral decision-making process that would 1) provide a mechanism which would expedite solutions, and efficiently and cost-effectively resolve disputes in a way which would not be divisive to the organization, and which would significantly reduce the potential for liability under the anti-trust laws for both WSCC and its members, and 2) allow the Council to focus on carrying out its primary responsibility of promoting reliability.  ADR processes have proven to be a very effective tool in resolving disputes in many industries, and the potential benefits of adopting a WSCC process are set forth in the attached white paper titled “Potential Benefits of Using Alternative Dispute Resolution for WSCC Issues.”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As presently noted, the EPITF continues to be of the opinion we should adopt an ADR process, and has been working very hard to develop an effective proposal on which we can reach consensus.  As you will recall, the EPITF drafted a proposed ADR process which used, as a base, the Regional Transmission Association dispute resolution language which most of you have agreed upon for addressing disputes associated with transmission access issues.  I distributed it to you and requested your comments by letter dated October 18, 1999.  We reviewed the comments submitted and a modified proposal was distributed to you by letter dated November 8, 1999.   We subsequently 1) convened a workshop on November 15 to review the revised proposal and again requested comments, and 2) reviewed the revised EPITF proposal with you at WSCC’s Annual Meeting in December of 1999 and again solicited your comments.  During 2000, we continued to request and review members comments, and solicited your comments on revised proposals sent to you by letters dated February 25, and July 20, 2000.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We have completed our review of all the comments submitted and have again revised the EPITF proposal with the hope that we have now reached consensus and can approve an effective process which would assist the WSCC members in expediting the resolution of contentious issues and which would minimize potential legal risks to WSCC and its members.  A copy of this letter has been posted on the WSCC Web site along with the “Executive Summary of the Proposed WSCC Alternative Dispute Resolution Provisions,” the “white” paper describing the potential benefits of adopting an ADR process, a list of frequently asked questions, the recommended ADR proposal dated November 13, 2000, and a redlined version so that you may easily review all of the changes made to the document in response to member comments since the February 25 version.  You may access these documents at www.wscc.com by clicking “WSCC Groups and Meetings,” then “Board of Trustees,” and then “Executive Policy Issues Task Force.”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objectives of the current proposal are to provide:</w:t>
      </w:r>
    </w:p>
    <w:p>
      <w:pPr>
        <w:pStyle w:val="Normal"/>
        <w:rPr>
          <w:rFonts w:ascii="Times New Roman" w:hAnsi="Times New Roman" w:cs="Times New Roman"/>
        </w:rPr>
      </w:pPr>
      <w:r>
        <w:rPr>
          <w:rFonts w:cs="Times New Roman" w:ascii="Times New Roman" w:hAnsi="Times New Roman"/>
        </w:rPr>
      </w:r>
    </w:p>
    <w:p>
      <w:pPr>
        <w:pStyle w:val="Normal"/>
        <w:numPr>
          <w:ilvl w:val="0"/>
          <w:numId w:val="3"/>
        </w:numPr>
        <w:ind w:hanging="720" w:start="1440" w:end="0"/>
        <w:rPr>
          <w:rFonts w:ascii="Times New Roman" w:hAnsi="Times New Roman" w:cs="Times New Roman"/>
        </w:rPr>
      </w:pPr>
      <w:r>
        <w:rPr>
          <w:rFonts w:cs="Times New Roman" w:ascii="Times New Roman" w:hAnsi="Times New Roman"/>
        </w:rPr>
        <w:t>A formal default ADR process which relies on a neutral decision maker for resolving disputes (between members and between members and the Council) which are within the scope of WSCC’s mission;</w:t>
      </w:r>
    </w:p>
    <w:p>
      <w:pPr>
        <w:pStyle w:val="Normal"/>
        <w:numPr>
          <w:ilvl w:val="0"/>
          <w:numId w:val="2"/>
        </w:numPr>
        <w:ind w:hanging="720" w:start="1440" w:end="0"/>
        <w:rPr>
          <w:rFonts w:ascii="Times New Roman" w:hAnsi="Times New Roman" w:cs="Times New Roman"/>
        </w:rPr>
      </w:pPr>
      <w:r>
        <w:rPr>
          <w:rFonts w:cs="Times New Roman" w:ascii="Times New Roman" w:hAnsi="Times New Roman"/>
        </w:rPr>
        <w:t>A quick, equitable, efficient (time and cost) and flexible alternative to the use of state and federal agencies and/or the available judicial system; and</w:t>
      </w:r>
    </w:p>
    <w:p>
      <w:pPr>
        <w:pStyle w:val="NormalIndent"/>
        <w:numPr>
          <w:ilvl w:val="0"/>
          <w:numId w:val="2"/>
        </w:numPr>
        <w:ind w:hanging="0" w:start="720" w:end="0"/>
        <w:rPr>
          <w:rFonts w:ascii="Times New Roman" w:hAnsi="Times New Roman" w:cs="Times New Roman"/>
        </w:rPr>
      </w:pPr>
      <w:r>
        <w:rPr>
          <w:rFonts w:cs="Times New Roman" w:ascii="Times New Roman" w:hAnsi="Times New Roman"/>
        </w:rPr>
        <w:t>A process which includes short time frames for efficiently resolving disputes.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key aspects of the ADR proposal attached to this letter are:1) the scope of the ADR is limited to those matters concerning WSCC’s mission to promote bulk power system reliability; 2) the provisions are not intended to interfere with or override any existing agreements or other legal obligations that would apply to resolving a particular dispute; 3) the ADR provisions do not force disputing parties to follow the WSCC’s procedures when all disputing parties prefer to use another process; and 4) the ADR provisions include safeguards to protect against placing parties in conflict with applicable laws, regulations, tariffs, contracts, or other binding obligations.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ADR process has four essential components:1) an obligation to use mediation as a first step to resolve a “covered” dispute (that is, a dispute within the defined scope of the ADR language); 2) a process for submitting a dispute to binding arbitration if it is not resolved through mediation (this arbitration step in most instances is voluntary – that is, it can be invoked only by agreement of all disputing parties); 3) a very limited subset of issues for which binding arbitration is mandatory (unless all disputing parties agree otherwise); and 4) defined rights to appeal an arbitrator’s decision.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On behalf of the EPITF, I am requesting that you review the attached Executive Summary, the potential benefits white paper, the list of frequently asked questions, and the recommended ADR process.  On behalf of EPITF, I am also soliciting your support for approving the proposed ADR process to facilitate an efficient and equitable mechanism for addressing WSCC disputes.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attached ADR proposal is being sent to the Board of Trustees with a recommendation that the Board, at its December 6-7 meeting, adopt a resolution recommending membership approval to amend the WSCC Agreement and Bylaws to include the proposed process.</w:t>
      </w:r>
    </w:p>
    <w:p>
      <w:pPr>
        <w:pStyle w:val="Normal"/>
        <w:rPr>
          <w:rFonts w:ascii="Times New Roman" w:hAnsi="Times New Roman" w:cs="Times New Roman"/>
        </w:rPr>
      </w:pPr>
      <w:r>
        <w:rPr>
          <w:rFonts w:cs="Times New Roman" w:ascii="Times New Roman" w:hAnsi="Times New Roman"/>
        </w:rPr>
      </w:r>
    </w:p>
    <w:p>
      <w:pPr>
        <w:pStyle w:val="Normal"/>
        <w:tabs>
          <w:tab w:val="left" w:pos="600" w:leader="none"/>
          <w:tab w:val="left" w:pos="1200" w:leader="none"/>
          <w:tab w:val="left" w:pos="1440" w:leader="none"/>
          <w:tab w:val="left" w:pos="2400" w:leader="none"/>
          <w:tab w:val="left" w:pos="3600" w:leader="none"/>
          <w:tab w:val="left" w:pos="4440" w:leader="none"/>
          <w:tab w:val="left" w:pos="4800" w:leader="none"/>
          <w:tab w:val="left" w:pos="6000" w:leader="none"/>
          <w:tab w:val="left" w:pos="7200" w:leader="none"/>
          <w:tab w:val="left" w:pos="8400" w:leader="none"/>
        </w:tabs>
        <w:suppressAutoHyphens w:val="true"/>
        <w:rPr/>
      </w:pPr>
      <w:r>
        <w:rPr>
          <w:rFonts w:cs="Times New Roman" w:ascii="Times New Roman" w:hAnsi="Times New Roman"/>
        </w:rPr>
        <w:t xml:space="preserve">In the event you or a representative from your organization will be unable to attend the Annual Meeting, we would appreciate your returning the attached ballot reflecting your vote on the proposed Alternative Dispute Resolution process.  </w:t>
      </w:r>
      <w:r>
        <w:rPr>
          <w:rFonts w:cs="Times New Roman" w:ascii="Times New Roman" w:hAnsi="Times New Roman"/>
          <w:u w:val="single"/>
        </w:rPr>
        <w:t>The ballot should be faxed to reach the WSCC office prior to December 4, 2000</w:t>
      </w:r>
      <w:r>
        <w:rPr>
          <w:rFonts w:cs="Times New Roman" w:ascii="Times New Roman" w:hAnsi="Times New Roman"/>
        </w:rPr>
        <w:t>.  Please call Dennis Eyre or me if you have questions.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pPr>
      <w:r>
        <w:rPr>
          <w:rFonts w:cs="Times New Roman" w:ascii="Times New Roman" w:hAnsi="Times New Roman"/>
          <w:sz w:val="36"/>
        </w:rPr>
        <w:tab/>
        <w:tab/>
        <w:tab/>
        <w:tab/>
        <w:tab/>
        <w:tab/>
      </w:r>
      <w:r>
        <w:rPr>
          <w:rFonts w:cs="Brush Script MT" w:ascii="Brush Script MT" w:hAnsi="Brush Script MT"/>
          <w:sz w:val="36"/>
        </w:rPr>
        <w:t>Paul F. Barber</w:t>
      </w:r>
    </w:p>
    <w:p>
      <w:pPr>
        <w:pStyle w:val="Normal"/>
        <w:rPr>
          <w:rFonts w:ascii="Times New Roman" w:hAnsi="Times New Roman" w:cs="Times New Roman"/>
        </w:rPr>
      </w:pPr>
      <w:r>
        <w:rPr>
          <w:rFonts w:cs="Times New Roman" w:ascii="Times New Roman" w:hAnsi="Times New Roman"/>
        </w:rPr>
        <w:tab/>
        <w:tab/>
        <w:tab/>
        <w:tab/>
        <w:tab/>
        <w:tab/>
        <w:t>Paul F. Barber, Chair</w:t>
      </w:r>
    </w:p>
    <w:p>
      <w:pPr>
        <w:pStyle w:val="Normal"/>
        <w:rPr>
          <w:rFonts w:ascii="Times New Roman" w:hAnsi="Times New Roman" w:cs="Times New Roman"/>
        </w:rPr>
      </w:pPr>
      <w:r>
        <w:rPr>
          <w:rFonts w:cs="Times New Roman" w:ascii="Times New Roman" w:hAnsi="Times New Roman"/>
        </w:rPr>
        <w:tab/>
        <w:tab/>
        <w:tab/>
        <w:tab/>
        <w:tab/>
        <w:tab/>
        <w:t>Executive Policy Issues Task Force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PFB:lar</w:t>
      </w:r>
    </w:p>
    <w:p>
      <w:pPr>
        <w:pStyle w:val="Normal"/>
        <w:rPr>
          <w:rFonts w:ascii="Times New Roman" w:hAnsi="Times New Roman" w:cs="Times New Roman"/>
        </w:rPr>
      </w:pPr>
      <w:r>
        <w:rPr>
          <w:rFonts w:cs="Times New Roman" w:ascii="Times New Roman" w:hAnsi="Times New Roman"/>
        </w:rPr>
        <w:t>attachments</w:t>
      </w:r>
    </w:p>
    <w:p>
      <w:pPr>
        <w:pStyle w:val="Normal"/>
        <w:ind w:hanging="540" w:start="540" w:end="0"/>
        <w:rPr>
          <w:rFonts w:ascii="Times New Roman" w:hAnsi="Times New Roman" w:cs="Times New Roman"/>
        </w:rPr>
      </w:pPr>
      <w:r>
        <w:rPr>
          <w:rFonts w:cs="Times New Roman" w:ascii="Times New Roman" w:hAnsi="Times New Roman"/>
        </w:rPr>
        <w:t>cc:</w:t>
        <w:tab/>
        <w:t>Planning Coordination Committee</w:t>
      </w:r>
    </w:p>
    <w:p>
      <w:pPr>
        <w:pStyle w:val="Normal"/>
        <w:ind w:hanging="540" w:start="540" w:end="0"/>
        <w:rPr>
          <w:rFonts w:ascii="Times New Roman" w:hAnsi="Times New Roman" w:cs="Times New Roman"/>
        </w:rPr>
      </w:pPr>
      <w:r>
        <w:rPr>
          <w:rFonts w:cs="Times New Roman" w:ascii="Times New Roman" w:hAnsi="Times New Roman"/>
        </w:rPr>
        <w:tab/>
        <w:t>Operations Committee</w:t>
      </w:r>
    </w:p>
    <w:p>
      <w:pPr>
        <w:pStyle w:val="Normal"/>
        <w:ind w:hanging="540" w:start="540" w:end="0"/>
        <w:rPr/>
      </w:pPr>
      <w:r>
        <w:rPr/>
        <w:tab/>
      </w:r>
      <w:r>
        <w:rPr>
          <w:rFonts w:cs="Times New Roman" w:ascii="Times New Roman" w:hAnsi="Times New Roman"/>
        </w:rPr>
        <w:t xml:space="preserve">  w/attachments</w:t>
      </w:r>
    </w:p>
    <w:p>
      <w:pPr>
        <w:pStyle w:val="Normal"/>
        <w:ind w:hanging="540" w:start="540" w:end="0"/>
        <w:rPr>
          <w:rFonts w:ascii="Times New Roman" w:hAnsi="Times New Roman" w:cs="Times New Roman"/>
        </w:rPr>
      </w:pPr>
      <w:r>
        <w:rPr>
          <w:rFonts w:cs="Times New Roman" w:ascii="Times New Roman" w:hAnsi="Times New Roman"/>
        </w:rPr>
      </w:r>
    </w:p>
    <w:p>
      <w:pPr>
        <w:pStyle w:val="Normal"/>
        <w:ind w:hanging="540" w:start="540" w:end="0"/>
        <w:rPr>
          <w:rFonts w:ascii="Times New Roman" w:hAnsi="Times New Roman" w:cs="Times New Roman"/>
          <w:sz w:val="12"/>
          <w:lang w:eastAsia="en-US"/>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/mnt/main-storage/datasets/enron-docs/doc/CRltr_ADR.doc</w:t>
      </w:r>
      <w:r>
        <w:rPr>
          <w:sz w:val="12"/>
          <w:rFonts w:cs="Times New Roman" w:ascii="Times New Roman" w:hAnsi="Times New Roman"/>
          <w:lang w:eastAsia="en-US"/>
        </w:rPr>
        <w:fldChar w:fldCharType="end"/>
      </w:r>
    </w:p>
    <w:sectPr>
      <w:headerReference w:type="default" r:id="rId5"/>
      <w:headerReference w:type="first" r:id="rId6"/>
      <w:type w:val="nextPage"/>
      <w:pgSz w:w="12240" w:h="15840"/>
      <w:pgMar w:left="1440" w:right="1440" w:gutter="0" w:header="720" w:top="1800" w:footer="0" w:bottom="162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rPr>
      <w:t>-</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r>
      <w:rPr>
        <w:rStyle w:val="PageNumber"/>
        <w:rFonts w:cs="Times New Roman" w:ascii="Times New Roman" w:hAnsi="Times New Roman"/>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caps/>
      <w:color w:val="FF0000"/>
    </w:rPr>
  </w:style>
  <w:style w:type="paragraph" w:styleId="Heading2">
    <w:name w:val="heading 2"/>
    <w:basedOn w:val="Normal"/>
    <w:next w:val="Normal"/>
    <w:qFormat/>
    <w:pPr>
      <w:keepNext w:val="true"/>
      <w:numPr>
        <w:ilvl w:val="1"/>
        <w:numId w:val="1"/>
      </w:numPr>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ind w:hanging="0" w:start="2160" w:end="0"/>
      <w:outlineLvl w:val="3"/>
    </w:pPr>
    <w:rPr>
      <w:b/>
      <w:color w:val="008000"/>
    </w:rPr>
  </w:style>
  <w:style w:type="paragraph" w:styleId="Heading5">
    <w:name w:val="heading 5"/>
    <w:basedOn w:val="Normal"/>
    <w:next w:val="Normal"/>
    <w:qFormat/>
    <w:pPr>
      <w:keepNext w:val="true"/>
      <w:numPr>
        <w:ilvl w:val="4"/>
        <w:numId w:val="1"/>
      </w:numPr>
      <w:ind w:hanging="0" w:start="2880" w:end="0"/>
      <w:outlineLvl w:val="4"/>
    </w:pPr>
    <w:rPr>
      <w:b/>
      <w:color w:val="800000"/>
    </w:rPr>
  </w:style>
  <w:style w:type="paragraph" w:styleId="Heading6">
    <w:name w:val="heading 6"/>
    <w:basedOn w:val="Normal"/>
    <w:next w:val="Normal"/>
    <w:qFormat/>
    <w:pPr>
      <w:keepNext w:val="true"/>
      <w:numPr>
        <w:ilvl w:val="5"/>
        <w:numId w:val="1"/>
      </w:numPr>
      <w:ind w:hanging="0" w:start="3600" w:end="0"/>
      <w:outlineLvl w:val="5"/>
    </w:pPr>
    <w:rPr>
      <w:b/>
      <w:color w:val="000080"/>
    </w:rPr>
  </w:style>
  <w:style w:type="paragraph" w:styleId="Heading7">
    <w:name w:val="heading 7"/>
    <w:basedOn w:val="Normal"/>
    <w:next w:val="Normal"/>
    <w:qFormat/>
    <w:pPr>
      <w:keepNext w:val="true"/>
      <w:numPr>
        <w:ilvl w:val="6"/>
        <w:numId w:val="1"/>
      </w:numPr>
      <w:ind w:hanging="0" w:start="4320" w:end="0"/>
      <w:outlineLvl w:val="6"/>
    </w:pPr>
    <w:rPr>
      <w:b/>
      <w:color w:val="808000"/>
    </w:rPr>
  </w:style>
  <w:style w:type="paragraph" w:styleId="Heading8">
    <w:name w:val="heading 8"/>
    <w:basedOn w:val="Normal"/>
    <w:next w:val="Normal"/>
    <w:qFormat/>
    <w:pPr>
      <w:keepNext w:val="true"/>
      <w:numPr>
        <w:ilvl w:val="7"/>
        <w:numId w:val="1"/>
      </w:numPr>
      <w:ind w:hanging="0" w:start="5040" w:end="0"/>
      <w:outlineLvl w:val="7"/>
    </w:pPr>
    <w:rPr>
      <w:b/>
      <w:color w:val="008080"/>
    </w:rPr>
  </w:style>
  <w:style w:type="paragraph" w:styleId="Heading9">
    <w:name w:val="heading 9"/>
    <w:basedOn w:val="Normal"/>
    <w:next w:val="Normal"/>
    <w:qFormat/>
    <w:pPr>
      <w:keepNext w:val="true"/>
      <w:numPr>
        <w:ilvl w:val="8"/>
        <w:numId w:val="1"/>
      </w:numPr>
      <w:outlineLvl w:val="8"/>
    </w:pPr>
    <w:rPr>
      <w:i/>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rFonts w:ascii="Century Schoolbook" w:hAnsi="Century Schoolbook" w:cs="Century Schoolbook"/>
      <w:b/>
      <w:color w:val="FF0000"/>
      <w:position w:val="0"/>
      <w:sz w:val="24"/>
      <w:sz w:val="24"/>
      <w:u w:val="single"/>
      <w:vertAlign w:val="baselin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ind w:hanging="1152" w:start="1152" w:end="0"/>
    </w:pPr>
    <w:rPr>
      <w:i/>
      <w:color w:val="FF0000"/>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1">
    <w:name w:val="toc 1"/>
    <w:basedOn w:val="Normal"/>
    <w:next w:val="Normal"/>
    <w:pPr>
      <w:tabs>
        <w:tab w:val="clear" w:pos="1440"/>
        <w:tab w:val="left" w:pos="8280" w:leader="dot"/>
        <w:tab w:val="right" w:pos="8640" w:leader="none"/>
      </w:tabs>
      <w:ind w:hanging="432" w:start="432" w:end="1440"/>
    </w:pPr>
    <w:rPr/>
  </w:style>
  <w:style w:type="paragraph" w:styleId="Index2">
    <w:name w:val="index 2"/>
    <w:basedOn w:val="Normal"/>
    <w:next w:val="Normal"/>
    <w:pPr>
      <w:tabs>
        <w:tab w:val="clear" w:pos="1440"/>
        <w:tab w:val="right" w:pos="7200" w:leader="dot"/>
      </w:tabs>
      <w:spacing w:before="240" w:after="0"/>
      <w:ind w:hanging="0" w:start="360" w:end="0"/>
    </w:pPr>
    <w:rPr/>
  </w:style>
  <w:style w:type="paragraph" w:styleId="Index1">
    <w:name w:val="index 1"/>
    <w:basedOn w:val="Normal"/>
    <w:next w:val="Normal"/>
    <w:pPr>
      <w:tabs>
        <w:tab w:val="clear" w:pos="1440"/>
      </w:tabs>
      <w:spacing w:before="240" w:after="0"/>
      <w:jc w:val="center"/>
    </w:pPr>
    <w:rPr>
      <w:caps/>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clear" w:pos="1440"/>
        <w:tab w:val="center" w:pos="4320" w:leader="none"/>
        <w:tab w:val="right" w:pos="8640" w:leader="none"/>
      </w:tabs>
    </w:pPr>
    <w:rPr/>
  </w:style>
  <w:style w:type="paragraph" w:styleId="Header">
    <w:name w:val="header"/>
    <w:basedOn w:val="Normal"/>
    <w:pPr>
      <w:tabs>
        <w:tab w:val="clear" w:pos="1440"/>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NormalIndent">
    <w:name w:val="Normal Indent"/>
    <w:basedOn w:val="Normal"/>
    <w:qFormat/>
    <w:pPr>
      <w:ind w:hanging="0" w:start="720" w:end="0"/>
    </w:pPr>
    <w:rPr/>
  </w:style>
  <w:style w:type="paragraph" w:styleId="BlockIndent">
    <w:name w:val="Block Indent"/>
    <w:basedOn w:val="Normal"/>
    <w:qFormat/>
    <w:pPr>
      <w:spacing w:lineRule="atLeast" w:line="240"/>
      <w:ind w:hanging="0" w:start="2160" w:end="1440"/>
    </w:pPr>
    <w:rPr/>
  </w:style>
  <w:style w:type="paragraph" w:styleId="Orator">
    <w:name w:val="Orator"/>
    <w:basedOn w:val="Normal"/>
    <w:qFormat/>
    <w:pPr>
      <w:spacing w:lineRule="atLeast" w:line="480"/>
    </w:pPr>
    <w:rPr>
      <w:rFonts w:ascii="Arial" w:hAnsi="Arial" w:cs="Arial"/>
      <w:sz w:val="32"/>
    </w:rPr>
  </w:style>
  <w:style w:type="paragraph" w:styleId="To">
    <w:name w:val="To"/>
    <w:basedOn w:val="Normal"/>
    <w:qFormat/>
    <w:pPr>
      <w:spacing w:before="0" w:after="240"/>
      <w:ind w:hanging="1440" w:start="1440" w:end="0"/>
    </w:pPr>
    <w:rPr/>
  </w:style>
  <w:style w:type="paragraph" w:styleId="From">
    <w:name w:val="From"/>
    <w:basedOn w:val="Normal"/>
    <w:qFormat/>
    <w:pPr>
      <w:spacing w:before="0" w:after="240"/>
      <w:ind w:hanging="1440" w:start="1440" w:end="0"/>
    </w:pPr>
    <w:rPr/>
  </w:style>
  <w:style w:type="paragraph" w:styleId="Re">
    <w:name w:val="Re"/>
    <w:basedOn w:val="Normal"/>
    <w:next w:val="Normal"/>
    <w:qFormat/>
    <w:pPr>
      <w:spacing w:before="0" w:after="360"/>
      <w:ind w:hanging="1440" w:start="1440" w:end="0"/>
    </w:pPr>
    <w:rPr>
      <w:b/>
    </w:rPr>
  </w:style>
  <w:style w:type="paragraph" w:styleId="DelType">
    <w:name w:val="DelType"/>
    <w:basedOn w:val="Normal"/>
    <w:qFormat/>
    <w:pPr/>
    <w:rPr>
      <w:i/>
      <w:caps/>
    </w:rPr>
  </w:style>
  <w:style w:type="paragraph" w:styleId="CC">
    <w:name w:val="CC"/>
    <w:basedOn w:val="Normal"/>
    <w:qFormat/>
    <w:pPr>
      <w:ind w:hanging="1440" w:start="1440" w:end="0"/>
    </w:pPr>
    <w:rPr/>
  </w:style>
  <w:style w:type="paragraph" w:styleId="BCC">
    <w:name w:val="BCC"/>
    <w:basedOn w:val="CC"/>
    <w:next w:val="Normal"/>
    <w:qFormat/>
    <w:pPr/>
    <w:rPr>
      <w:vanish/>
    </w:rPr>
  </w:style>
  <w:style w:type="paragraph" w:styleId="BodyText2">
    <w:name w:val="Body Text 2"/>
    <w:basedOn w:val="Normal"/>
    <w:qFormat/>
    <w:pPr>
      <w:ind w:hanging="0" w:start="0" w:end="2160"/>
    </w:pPr>
    <w:rPr>
      <w:rFonts w:ascii="Times New Roman" w:hAnsi="Times New Roman" w:cs="Times New Roman"/>
      <w:sz w:val="1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yperlink" Target="mailto:PaulB@CitizensPower.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2000-11-20T21:47:00Z</dcterms:created>
  <dc:creator>JL4</dc:creator>
  <dc:description/>
  <dc:language>en-CA</dc:language>
  <cp:lastModifiedBy>lisa</cp:lastModifiedBy>
  <cp:lastPrinted>2000-11-18T13:13:00Z</cp:lastPrinted>
  <dcterms:modified xsi:type="dcterms:W3CDTF">2000-11-20T21:48:00Z</dcterms:modified>
  <cp:revision>3</cp:revision>
  <dc:subject/>
  <dc:title>RMS Agreement cover</dc:title>
</cp:coreProperties>
</file>