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Paragraph 13.  Election and Variables</w:t>
      </w:r>
    </w:p>
    <w:p>
      <w:pPr>
        <w:pStyle w:val="Normal"/>
        <w:widowControl/>
        <w:jc w:val="both"/>
        <w:rPr>
          <w:lang w:val="en-GB"/>
        </w:rPr>
      </w:pPr>
      <w:r>
        <w:rPr>
          <w:lang w:val="en-GB"/>
        </w:rPr>
      </w:r>
    </w:p>
    <w:p>
      <w:pPr>
        <w:pStyle w:val="Level1"/>
        <w:widowControl/>
        <w:numPr>
          <w:ilvl w:val="0"/>
          <w:numId w:val="2"/>
        </w:numPr>
        <w:tabs>
          <w:tab w:val="left" w:pos="720" w:leader="none"/>
        </w:tabs>
        <w:ind w:hanging="0" w:start="0"/>
        <w:jc w:val="both"/>
        <w:rPr/>
      </w:pPr>
      <w:r>
        <w:rPr>
          <w:b/>
        </w:rPr>
        <w:t>Security Interest for "Obligations".</w:t>
      </w:r>
      <w:r>
        <w:rPr/>
        <w:t xml:space="preserve">  The term "Obligations" as used in this Annex includes the following additional obligations: none.</w:t>
      </w:r>
    </w:p>
    <w:p>
      <w:pPr>
        <w:pStyle w:val="Normal"/>
        <w:widowControl/>
        <w:jc w:val="both"/>
        <w:rPr/>
      </w:pPr>
      <w:r>
        <w:rPr/>
      </w:r>
    </w:p>
    <w:p>
      <w:pPr>
        <w:pStyle w:val="Level1"/>
        <w:widowControl/>
        <w:numPr>
          <w:ilvl w:val="0"/>
          <w:numId w:val="2"/>
        </w:numPr>
        <w:tabs>
          <w:tab w:val="left" w:pos="720" w:leader="none"/>
        </w:tabs>
        <w:ind w:hanging="0" w:start="0"/>
        <w:jc w:val="both"/>
        <w:rPr/>
      </w:pPr>
      <w:r>
        <w:rPr>
          <w:b/>
        </w:rPr>
        <w:t>Credit Support Obligations.</w:t>
      </w:r>
    </w:p>
    <w:p>
      <w:pPr>
        <w:pStyle w:val="Normal"/>
        <w:widowControl/>
        <w:jc w:val="both"/>
        <w:rPr/>
      </w:pPr>
      <w:r>
        <w:rPr/>
      </w:r>
    </w:p>
    <w:p>
      <w:pPr>
        <w:pStyle w:val="Level2"/>
        <w:widowControl/>
        <w:numPr>
          <w:ilvl w:val="1"/>
          <w:numId w:val="2"/>
        </w:numPr>
        <w:tabs>
          <w:tab w:val="left" w:pos="1440" w:leader="none"/>
        </w:tabs>
        <w:jc w:val="both"/>
        <w:rPr/>
      </w:pPr>
      <w:r>
        <w:rPr>
          <w:b/>
        </w:rPr>
        <w:t>Delivery Amount, Return Amount and Credit Support Amount.</w:t>
      </w:r>
    </w:p>
    <w:p>
      <w:pPr>
        <w:pStyle w:val="Normal"/>
        <w:widowControl/>
        <w:jc w:val="both"/>
        <w:rPr/>
      </w:pPr>
      <w:r>
        <w:rPr/>
      </w:r>
    </w:p>
    <w:p>
      <w:pPr>
        <w:pStyle w:val="Level3"/>
        <w:widowControl/>
        <w:numPr>
          <w:ilvl w:val="2"/>
          <w:numId w:val="2"/>
        </w:numPr>
        <w:tabs>
          <w:tab w:val="left" w:pos="-1440" w:leader="none"/>
          <w:tab w:val="left" w:pos="2160" w:leader="none"/>
        </w:tabs>
        <w:jc w:val="both"/>
        <w:rPr/>
      </w:pPr>
      <w:r>
        <w:rPr>
          <w:b/>
        </w:rPr>
        <w:t>"Delivery Amount"</w:t>
      </w:r>
      <w:r>
        <w:rPr/>
        <w:t xml:space="preserve"> has the meaning set forth in Paragraph 3(a).</w:t>
      </w:r>
    </w:p>
    <w:p>
      <w:pPr>
        <w:pStyle w:val="Normal"/>
        <w:widowControl/>
        <w:jc w:val="both"/>
        <w:rPr/>
      </w:pPr>
      <w:r>
        <w:rPr/>
      </w:r>
    </w:p>
    <w:p>
      <w:pPr>
        <w:pStyle w:val="Level3"/>
        <w:widowControl/>
        <w:numPr>
          <w:ilvl w:val="2"/>
          <w:numId w:val="2"/>
        </w:numPr>
        <w:tabs>
          <w:tab w:val="left" w:pos="-1440" w:leader="none"/>
          <w:tab w:val="left" w:pos="2160" w:leader="none"/>
        </w:tabs>
        <w:jc w:val="both"/>
        <w:rPr/>
      </w:pPr>
      <w:r>
        <w:rPr>
          <w:b/>
        </w:rPr>
        <w:t>"Return Amount"</w:t>
      </w:r>
      <w:r>
        <w:rPr/>
        <w:t xml:space="preserve"> has the meaning set forth in Paragraph 3(b).</w:t>
      </w:r>
    </w:p>
    <w:p>
      <w:pPr>
        <w:pStyle w:val="Normal"/>
        <w:widowControl/>
        <w:jc w:val="both"/>
        <w:rPr/>
      </w:pPr>
      <w:r>
        <w:rPr/>
      </w:r>
    </w:p>
    <w:p>
      <w:pPr>
        <w:pStyle w:val="Level3"/>
        <w:widowControl/>
        <w:numPr>
          <w:ilvl w:val="2"/>
          <w:numId w:val="2"/>
        </w:numPr>
        <w:tabs>
          <w:tab w:val="left" w:pos="-1440" w:leader="none"/>
          <w:tab w:val="left" w:pos="2160" w:leader="none"/>
        </w:tabs>
        <w:jc w:val="both"/>
        <w:rPr/>
      </w:pPr>
      <w:r>
        <w:rPr>
          <w:b/>
        </w:rPr>
        <w:t>"Credit Support Amount"</w:t>
      </w:r>
      <w:r>
        <w:rPr/>
        <w:t xml:space="preserve"> has the meaning set forth in Paragraph 3.</w:t>
      </w:r>
    </w:p>
    <w:p>
      <w:pPr>
        <w:pStyle w:val="Normal"/>
        <w:widowControl/>
        <w:jc w:val="both"/>
        <w:rPr/>
      </w:pPr>
      <w:r>
        <w:rPr/>
      </w:r>
    </w:p>
    <w:p>
      <w:pPr>
        <w:pStyle w:val="Level2"/>
        <w:widowControl/>
        <w:numPr>
          <w:ilvl w:val="1"/>
          <w:numId w:val="2"/>
        </w:numPr>
        <w:tabs>
          <w:tab w:val="left" w:pos="1440" w:leader="none"/>
        </w:tabs>
        <w:jc w:val="both"/>
        <w:rPr/>
      </w:pPr>
      <w:r>
        <w:rPr>
          <w:b/>
        </w:rPr>
        <w:t>Eligible Collateral.</w:t>
      </w:r>
      <w:r>
        <w:rPr/>
        <w:t xml:space="preserve">  The items set forth on Schedule I hereto will qualify as </w:t>
      </w:r>
      <w:r>
        <w:rPr>
          <w:b/>
        </w:rPr>
        <w:t>"Eligible Collateral"</w:t>
      </w:r>
      <w:r>
        <w:rPr/>
        <w:t xml:space="preserve"> for the party specified.</w:t>
      </w:r>
    </w:p>
    <w:p>
      <w:pPr>
        <w:pStyle w:val="Normal"/>
        <w:widowControl/>
        <w:jc w:val="both"/>
        <w:rPr/>
      </w:pPr>
      <w:r>
        <w:rPr/>
      </w:r>
    </w:p>
    <w:p>
      <w:pPr>
        <w:pStyle w:val="Level2"/>
        <w:widowControl/>
        <w:numPr>
          <w:ilvl w:val="1"/>
          <w:numId w:val="2"/>
        </w:numPr>
        <w:tabs>
          <w:tab w:val="left" w:pos="1440" w:leader="none"/>
        </w:tabs>
        <w:jc w:val="both"/>
        <w:rPr/>
      </w:pPr>
      <w:r>
        <w:rPr>
          <w:b/>
        </w:rPr>
        <w:t>Other Eligible Support.</w:t>
      </w:r>
      <w:r>
        <w:rPr/>
        <w:t xml:space="preserve">  There shall be no "Other Eligible Support" for either party for purposes of this Annex.</w:t>
      </w:r>
    </w:p>
    <w:p>
      <w:pPr>
        <w:pStyle w:val="Normal"/>
        <w:widowControl/>
        <w:jc w:val="both"/>
        <w:rPr/>
      </w:pPr>
      <w:r>
        <w:rPr/>
      </w:r>
    </w:p>
    <w:p>
      <w:pPr>
        <w:pStyle w:val="Level2"/>
        <w:widowControl/>
        <w:numPr>
          <w:ilvl w:val="1"/>
          <w:numId w:val="2"/>
        </w:numPr>
        <w:tabs>
          <w:tab w:val="left" w:pos="1440" w:leader="none"/>
        </w:tabs>
        <w:jc w:val="both"/>
        <w:rPr/>
      </w:pPr>
      <w:r>
        <w:rPr>
          <w:b/>
        </w:rPr>
        <w:t>Thresholds.</w:t>
      </w:r>
    </w:p>
    <w:p>
      <w:pPr>
        <w:pStyle w:val="Normal"/>
        <w:widowControl/>
        <w:jc w:val="both"/>
        <w:rPr/>
      </w:pPr>
      <w:r>
        <w:rPr/>
      </w:r>
    </w:p>
    <w:p>
      <w:pPr>
        <w:pStyle w:val="Level3"/>
        <w:widowControl/>
        <w:numPr>
          <w:ilvl w:val="2"/>
          <w:numId w:val="2"/>
        </w:numPr>
        <w:tabs>
          <w:tab w:val="left" w:pos="-1440" w:leader="none"/>
          <w:tab w:val="left" w:pos="2160" w:leader="none"/>
        </w:tabs>
        <w:jc w:val="both"/>
        <w:rPr/>
      </w:pPr>
      <w:r>
        <w:rPr>
          <w:b/>
        </w:rPr>
        <w:t>"Independent Amount"</w:t>
      </w:r>
      <w:r>
        <w:rPr/>
        <w:t xml:space="preserve"> shall be not applicable with respect to Party A.</w:t>
      </w:r>
    </w:p>
    <w:p>
      <w:pPr>
        <w:pStyle w:val="Normal"/>
        <w:widowControl/>
        <w:jc w:val="both"/>
        <w:rPr/>
      </w:pPr>
      <w:r>
        <w:rPr/>
      </w:r>
    </w:p>
    <w:p>
      <w:pPr>
        <w:pStyle w:val="Normal"/>
        <w:widowControl/>
        <w:ind w:firstLine="2160" w:end="0"/>
        <w:jc w:val="both"/>
        <w:rPr/>
      </w:pPr>
      <w:r>
        <w:rPr>
          <w:b/>
        </w:rPr>
        <w:t>"Independent Amount"</w:t>
      </w:r>
      <w:r>
        <w:rPr/>
        <w:t xml:space="preserve"> shall not be applicable with respect to Party B.</w:t>
      </w:r>
    </w:p>
    <w:p>
      <w:pPr>
        <w:pStyle w:val="Normal"/>
        <w:widowControl/>
        <w:jc w:val="both"/>
        <w:rPr/>
      </w:pPr>
      <w:r>
        <w:rPr/>
      </w:r>
    </w:p>
    <w:p>
      <w:pPr>
        <w:pStyle w:val="Level3"/>
        <w:widowControl/>
        <w:numPr>
          <w:ilvl w:val="2"/>
          <w:numId w:val="2"/>
        </w:numPr>
        <w:tabs>
          <w:tab w:val="left" w:pos="-1440" w:leader="none"/>
          <w:tab w:val="left" w:pos="2160" w:leader="none"/>
        </w:tabs>
        <w:jc w:val="both"/>
        <w:rPr/>
      </w:pPr>
      <w:r>
        <w:rPr>
          <w:b/>
        </w:rPr>
        <w:t>"Threshold"</w:t>
      </w:r>
      <w:r>
        <w:rPr/>
        <w:t xml:space="preserve"> means with respect to Party A, the amounts set out in Schedule II, determined on the basis of the lower of the ratings assigned by either Standard &amp; Poor’s Rating Group, a division of McGraw-Hill, Inc. (“S&amp;P”), Moody’s Investors Service Inc. (“Moody’s”) or Fitch to the long term, unsecured and unsubordinated debt of such party; In relation to Party B, threshold will be USD 1,000,000.</w:t>
      </w:r>
    </w:p>
    <w:p>
      <w:pPr>
        <w:pStyle w:val="Normal"/>
        <w:widowControl/>
        <w:ind w:start="2160" w:end="0"/>
        <w:jc w:val="both"/>
        <w:rPr/>
      </w:pPr>
      <w:r>
        <w:rPr/>
      </w:r>
    </w:p>
    <w:p>
      <w:pPr>
        <w:pStyle w:val="Level3"/>
        <w:widowControl/>
        <w:numPr>
          <w:ilvl w:val="2"/>
          <w:numId w:val="2"/>
        </w:numPr>
        <w:tabs>
          <w:tab w:val="left" w:pos="-1440" w:leader="none"/>
          <w:tab w:val="left" w:pos="2160" w:leader="none"/>
        </w:tabs>
        <w:jc w:val="both"/>
        <w:rPr/>
      </w:pPr>
      <w:r>
        <w:rPr>
          <w:b/>
        </w:rPr>
        <w:t>"Minimum Transfer Amount"</w:t>
      </w:r>
      <w:r>
        <w:rPr/>
        <w:t xml:space="preserve"> means USD 100,000.</w:t>
      </w:r>
    </w:p>
    <w:p>
      <w:pPr>
        <w:pStyle w:val="Normal"/>
        <w:widowControl/>
        <w:jc w:val="both"/>
        <w:rPr/>
      </w:pPr>
      <w:r>
        <w:rPr/>
      </w:r>
    </w:p>
    <w:p>
      <w:pPr>
        <w:pStyle w:val="Level3"/>
        <w:widowControl/>
        <w:numPr>
          <w:ilvl w:val="2"/>
          <w:numId w:val="2"/>
        </w:numPr>
        <w:tabs>
          <w:tab w:val="left" w:pos="-1440" w:leader="none"/>
          <w:tab w:val="left" w:pos="2160" w:leader="none"/>
        </w:tabs>
        <w:jc w:val="both"/>
        <w:rPr/>
      </w:pPr>
      <w:r>
        <w:rPr>
          <w:b/>
        </w:rPr>
        <w:t>Rounding.</w:t>
      </w:r>
      <w:r>
        <w:rPr/>
        <w:t xml:space="preserve">  The Delivery Amount and the Return Amount will be rounded up to the nearest integral multiple of USD1,000.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224" w:footer="1224" w:bottom="1280"/>
          <w:pgNumType w:start="11" w:fmt="decimal"/>
          <w:formProt w:val="false"/>
          <w:textDirection w:val="lrTb"/>
          <w:docGrid w:type="default" w:linePitch="360" w:charSpace="0"/>
        </w:sectPr>
      </w:pPr>
    </w:p>
    <w:p>
      <w:pPr>
        <w:pStyle w:val="Level1"/>
        <w:widowControl/>
        <w:numPr>
          <w:ilvl w:val="0"/>
          <w:numId w:val="2"/>
        </w:numPr>
        <w:tabs>
          <w:tab w:val="left" w:pos="720" w:leader="none"/>
        </w:tabs>
        <w:ind w:hanging="0" w:start="0"/>
        <w:jc w:val="both"/>
        <w:rPr/>
      </w:pPr>
      <w:r>
        <w:rPr>
          <w:b/>
        </w:rPr>
        <w:t>Valuation and Timing.</w:t>
      </w:r>
    </w:p>
    <w:p>
      <w:pPr>
        <w:pStyle w:val="Normal"/>
        <w:widowControl/>
        <w:jc w:val="both"/>
        <w:rPr/>
      </w:pPr>
      <w:r>
        <w:rPr/>
      </w:r>
    </w:p>
    <w:p>
      <w:pPr>
        <w:pStyle w:val="Level2"/>
        <w:widowControl/>
        <w:numPr>
          <w:ilvl w:val="1"/>
          <w:numId w:val="2"/>
        </w:numPr>
        <w:tabs>
          <w:tab w:val="left" w:pos="1440" w:leader="none"/>
        </w:tabs>
        <w:jc w:val="both"/>
        <w:rPr/>
      </w:pPr>
      <w:r>
        <w:rPr>
          <w:b/>
        </w:rPr>
        <w:t>"Valuation Agent"</w:t>
      </w:r>
      <w:r>
        <w:rPr/>
        <w:t xml:space="preserve"> means, for purposes of Paragraphs 3 and 5, the party making the demand under Paragraph 3, and, for purposes of Paragraph 6(d), the Secured Party receiving or deemed to receive the Distributions of the Interest Amount, as applicable.</w:t>
      </w:r>
    </w:p>
    <w:p>
      <w:pPr>
        <w:pStyle w:val="Normal"/>
        <w:widowControl/>
        <w:jc w:val="both"/>
        <w:rPr/>
      </w:pPr>
      <w:r>
        <w:rPr/>
      </w:r>
    </w:p>
    <w:p>
      <w:pPr>
        <w:pStyle w:val="Level2"/>
        <w:widowControl/>
        <w:numPr>
          <w:ilvl w:val="1"/>
          <w:numId w:val="2"/>
        </w:numPr>
        <w:tabs>
          <w:tab w:val="left" w:pos="1440" w:leader="none"/>
        </w:tabs>
        <w:jc w:val="both"/>
        <w:rPr/>
      </w:pPr>
      <w:r>
        <w:rPr>
          <w:b/>
        </w:rPr>
        <w:t>"Valuation Date"</w:t>
      </w:r>
      <w:r>
        <w:rPr/>
        <w:t xml:space="preserve"> means, with respect to the determination of Exposure, the last Local Business Day of each calendar week, and with respect to the determination of Value of Eligible Credit Support or Posted Credit Support, the last Local Business Day of each month or upon the reasonable request of any Party, any other Local Business Day.</w:t>
      </w:r>
    </w:p>
    <w:p>
      <w:pPr>
        <w:pStyle w:val="Normal"/>
        <w:widowControl/>
        <w:jc w:val="both"/>
        <w:rPr/>
      </w:pPr>
      <w:r>
        <w:rPr/>
      </w:r>
    </w:p>
    <w:p>
      <w:pPr>
        <w:pStyle w:val="Level2"/>
        <w:widowControl/>
        <w:numPr>
          <w:ilvl w:val="1"/>
          <w:numId w:val="2"/>
        </w:numPr>
        <w:tabs>
          <w:tab w:val="left" w:pos="1440" w:leader="none"/>
        </w:tabs>
        <w:jc w:val="both"/>
        <w:rPr/>
      </w:pPr>
      <w:r>
        <w:rPr>
          <w:b/>
        </w:rPr>
        <w:t>"Valuation Time"</w:t>
      </w:r>
      <w:r>
        <w:rPr/>
        <w:t xml:space="preserve"> means, with respect to the determination of Exposure, Value of Eligible Credit Support and Posted Credit Support, the close of business on the Local Business Day before the Valuation Date or date of calculation, as applicable; provided that the calculation of Value and Exposure will be made as of approximately the same time on the same date.</w:t>
      </w:r>
    </w:p>
    <w:p>
      <w:pPr>
        <w:pStyle w:val="Normal"/>
        <w:widowControl/>
        <w:jc w:val="both"/>
        <w:rPr/>
      </w:pPr>
      <w:r>
        <w:rPr/>
      </w:r>
    </w:p>
    <w:p>
      <w:pPr>
        <w:pStyle w:val="Level2"/>
        <w:widowControl/>
        <w:numPr>
          <w:ilvl w:val="1"/>
          <w:numId w:val="2"/>
        </w:numPr>
        <w:tabs>
          <w:tab w:val="left" w:pos="1440" w:leader="none"/>
        </w:tabs>
        <w:jc w:val="both"/>
        <w:rPr/>
      </w:pPr>
      <w:r>
        <w:rPr>
          <w:b/>
        </w:rPr>
        <w:t>"Notification Time"</w:t>
      </w:r>
      <w:r>
        <w:rPr/>
        <w:t xml:space="preserve"> means, notwithstanding the timing mechanism set forth in Paragraph 4(b), with regard to Eligible Credit Support or Posted Credit Support the relevant Transfer will be made not later than the close of business on the following day that is a Local Business Day, irrespective of the time of day when a demand is made.</w:t>
      </w:r>
    </w:p>
    <w:p>
      <w:pPr>
        <w:pStyle w:val="Normal"/>
        <w:widowControl/>
        <w:jc w:val="both"/>
        <w:rPr/>
      </w:pPr>
      <w:r>
        <w:rPr/>
      </w:r>
    </w:p>
    <w:p>
      <w:pPr>
        <w:pStyle w:val="Level1"/>
        <w:widowControl/>
        <w:numPr>
          <w:ilvl w:val="0"/>
          <w:numId w:val="2"/>
        </w:numPr>
        <w:tabs>
          <w:tab w:val="left" w:pos="720" w:leader="none"/>
        </w:tabs>
        <w:ind w:hanging="0" w:start="0"/>
        <w:jc w:val="both"/>
        <w:rPr/>
      </w:pPr>
      <w:r>
        <w:rPr>
          <w:b/>
        </w:rPr>
        <w:t>Conditions Precedent and Secured Party</w:t>
      </w:r>
      <w:r>
        <w:rPr>
          <w:rFonts w:cs="WP TypographicSymbols;Symbol" w:ascii="WP TypographicSymbols;Symbol" w:hAnsi="WP TypographicSymbols;Symbol"/>
          <w:b/>
        </w:rPr>
        <w:sym w:font="WP TypographicSymbols;Symbol" w:char="f03d"/>
      </w:r>
      <w:r>
        <w:rPr>
          <w:b/>
        </w:rPr>
        <w:t>s Rights and Remedies.</w:t>
      </w:r>
      <w:r>
        <w:rPr/>
        <w:t xml:space="preserve"> The following </w:t>
        <w:tab/>
        <w:t xml:space="preserve">Termination Event(s) will be "Specified Condition" for the party specified (that party being </w:t>
        <w:tab/>
        <w:t>the Affected Party if the Termination Event occurs with respect to that party):</w:t>
      </w:r>
    </w:p>
    <w:p>
      <w:pPr>
        <w:pStyle w:val="Normal"/>
        <w:widowControl/>
        <w:jc w:val="both"/>
        <w:rPr/>
      </w:pPr>
      <w:r>
        <w:rPr/>
      </w:r>
    </w:p>
    <w:tbl>
      <w:tblPr>
        <w:tblW w:w="9357" w:type="dxa"/>
        <w:jc w:val="start"/>
        <w:tblInd w:w="120" w:type="dxa"/>
        <w:tblLayout w:type="fixed"/>
        <w:tblCellMar>
          <w:top w:w="0" w:type="dxa"/>
          <w:start w:w="120" w:type="dxa"/>
          <w:bottom w:w="0" w:type="dxa"/>
          <w:end w:w="120" w:type="dxa"/>
        </w:tblCellMar>
      </w:tblPr>
      <w:tblGrid>
        <w:gridCol w:w="4291"/>
        <w:gridCol w:w="2518"/>
        <w:gridCol w:w="2548"/>
      </w:tblGrid>
      <w:tr>
        <w:trPr/>
        <w:tc>
          <w:tcPr>
            <w:tcW w:w="42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r>
          </w:p>
        </w:tc>
        <w:tc>
          <w:tcPr>
            <w:tcW w:w="251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Party A</w:t>
            </w:r>
          </w:p>
        </w:tc>
        <w:tc>
          <w:tcPr>
            <w:tcW w:w="254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Party B</w:t>
            </w:r>
          </w:p>
        </w:tc>
      </w:tr>
      <w:tr>
        <w:trPr/>
        <w:tc>
          <w:tcPr>
            <w:tcW w:w="42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Illegality</w:t>
            </w:r>
          </w:p>
        </w:tc>
        <w:tc>
          <w:tcPr>
            <w:tcW w:w="251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X</w:t>
            </w:r>
          </w:p>
        </w:tc>
        <w:tc>
          <w:tcPr>
            <w:tcW w:w="254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X</w:t>
            </w:r>
          </w:p>
        </w:tc>
      </w:tr>
      <w:tr>
        <w:trPr/>
        <w:tc>
          <w:tcPr>
            <w:tcW w:w="42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Tax Event</w:t>
            </w:r>
          </w:p>
        </w:tc>
        <w:tc>
          <w:tcPr>
            <w:tcW w:w="251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X</w:t>
            </w:r>
          </w:p>
        </w:tc>
        <w:tc>
          <w:tcPr>
            <w:tcW w:w="254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X</w:t>
            </w:r>
          </w:p>
        </w:tc>
      </w:tr>
      <w:tr>
        <w:trPr/>
        <w:tc>
          <w:tcPr>
            <w:tcW w:w="42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Tax Event Upon Merger</w:t>
            </w:r>
          </w:p>
        </w:tc>
        <w:tc>
          <w:tcPr>
            <w:tcW w:w="251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X</w:t>
            </w:r>
          </w:p>
        </w:tc>
        <w:tc>
          <w:tcPr>
            <w:tcW w:w="254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X</w:t>
            </w:r>
          </w:p>
        </w:tc>
      </w:tr>
      <w:tr>
        <w:trPr/>
        <w:tc>
          <w:tcPr>
            <w:tcW w:w="42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Credit Event Upon Merger</w:t>
            </w:r>
          </w:p>
        </w:tc>
        <w:tc>
          <w:tcPr>
            <w:tcW w:w="251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X</w:t>
            </w:r>
          </w:p>
        </w:tc>
        <w:tc>
          <w:tcPr>
            <w:tcW w:w="254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X</w:t>
            </w:r>
          </w:p>
        </w:tc>
      </w:tr>
      <w:tr>
        <w:trPr/>
        <w:tc>
          <w:tcPr>
            <w:tcW w:w="4291"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Additional Termination Event(s): All</w:t>
            </w:r>
          </w:p>
        </w:tc>
        <w:tc>
          <w:tcPr>
            <w:tcW w:w="251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X</w:t>
            </w:r>
          </w:p>
        </w:tc>
        <w:tc>
          <w:tcPr>
            <w:tcW w:w="254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X</w:t>
            </w:r>
          </w:p>
        </w:tc>
      </w:tr>
    </w:tbl>
    <w:p>
      <w:pPr>
        <w:pStyle w:val="Normal"/>
        <w:widowControl/>
        <w:jc w:val="both"/>
        <w:rPr/>
      </w:pPr>
      <w:r>
        <w:rPr/>
      </w:r>
    </w:p>
    <w:p>
      <w:pPr>
        <w:pStyle w:val="Level1"/>
        <w:widowControl/>
        <w:numPr>
          <w:ilvl w:val="0"/>
          <w:numId w:val="2"/>
        </w:numPr>
        <w:tabs>
          <w:tab w:val="left" w:pos="720" w:leader="none"/>
        </w:tabs>
        <w:ind w:hanging="0" w:start="0"/>
        <w:jc w:val="both"/>
        <w:rPr/>
      </w:pPr>
      <w:r>
        <w:rPr>
          <w:b/>
        </w:rPr>
        <w:t>Substitution.</w:t>
      </w:r>
    </w:p>
    <w:p>
      <w:pPr>
        <w:pStyle w:val="Normal"/>
        <w:widowControl/>
        <w:jc w:val="both"/>
        <w:rPr/>
      </w:pPr>
      <w:r>
        <w:rPr/>
      </w:r>
    </w:p>
    <w:p>
      <w:pPr>
        <w:pStyle w:val="Level2"/>
        <w:widowControl/>
        <w:numPr>
          <w:ilvl w:val="1"/>
          <w:numId w:val="2"/>
        </w:numPr>
        <w:tabs>
          <w:tab w:val="left" w:pos="1440" w:leader="none"/>
        </w:tabs>
        <w:jc w:val="both"/>
        <w:rPr/>
      </w:pPr>
      <w:r>
        <w:rPr>
          <w:b/>
        </w:rPr>
        <w:t>"Substitution Date"</w:t>
      </w:r>
      <w:r>
        <w:rPr/>
        <w:t xml:space="preserve"> has the meaning specified in Paragraph 4(d)(ii).</w:t>
      </w:r>
    </w:p>
    <w:p>
      <w:pPr>
        <w:pStyle w:val="Normal"/>
        <w:widowControl/>
        <w:jc w:val="both"/>
        <w:rPr/>
      </w:pPr>
      <w:r>
        <w:rPr/>
      </w:r>
    </w:p>
    <w:p>
      <w:pPr>
        <w:pStyle w:val="Level2"/>
        <w:widowControl/>
        <w:numPr>
          <w:ilvl w:val="1"/>
          <w:numId w:val="2"/>
        </w:numPr>
        <w:tabs>
          <w:tab w:val="left" w:pos="1440" w:leader="none"/>
        </w:tabs>
        <w:jc w:val="both"/>
        <w:rPr/>
      </w:pPr>
      <w:r>
        <w:rPr>
          <w:b/>
        </w:rPr>
        <w:t>"Consent"</w:t>
      </w:r>
      <w:r>
        <w:rPr/>
        <w:t>:   not applicable to both parties.</w:t>
      </w:r>
    </w:p>
    <w:p>
      <w:pPr>
        <w:pStyle w:val="Normal"/>
        <w:widowControl/>
        <w:jc w:val="both"/>
        <w:rPr/>
      </w:pPr>
      <w:r>
        <w:rPr/>
      </w:r>
    </w:p>
    <w:p>
      <w:pPr>
        <w:pStyle w:val="Normal"/>
        <w:widowControl/>
        <w:jc w:val="both"/>
        <w:rPr/>
      </w:pPr>
      <w:r>
        <w:rPr/>
      </w:r>
    </w:p>
    <w:p>
      <w:pPr>
        <w:sectPr>
          <w:type w:val="continuous"/>
          <w:pgSz w:w="12240" w:h="15840"/>
          <w:pgMar w:left="1440" w:right="1440" w:gutter="0" w:header="0" w:top="1224" w:footer="1224" w:bottom="1280"/>
          <w:formProt w:val="false"/>
          <w:textDirection w:val="lrTb"/>
          <w:docGrid w:type="default" w:linePitch="360" w:charSpace="0"/>
        </w:sectPr>
      </w:pPr>
    </w:p>
    <w:p>
      <w:pPr>
        <w:pStyle w:val="Level2"/>
        <w:widowControl/>
        <w:numPr>
          <w:ilvl w:val="1"/>
          <w:numId w:val="2"/>
        </w:numPr>
        <w:tabs>
          <w:tab w:val="left" w:pos="1440" w:leader="none"/>
        </w:tabs>
        <w:jc w:val="both"/>
        <w:rPr/>
      </w:pPr>
      <w:r>
        <w:rPr/>
        <w:t>The following provision shall be inserted at the end of Paragraph 4(d)(ii): "; and further provided, that any request to substitute must seek the substitution of Eligible Credit Support or Posted Credit Support in an amount in excess of the Pledgor</w:t>
      </w:r>
      <w:r>
        <w:rPr>
          <w:rFonts w:cs="WP TypographicSymbols;Symbol" w:ascii="WP TypographicSymbols;Symbol" w:hAnsi="WP TypographicSymbols;Symbol"/>
        </w:rPr>
        <w:sym w:font="WP TypographicSymbols;Symbol" w:char="f03d"/>
      </w:r>
      <w:r>
        <w:rPr/>
        <w:t>s Minimum Transfer Amount."</w:t>
      </w:r>
    </w:p>
    <w:p>
      <w:pPr>
        <w:pStyle w:val="Normal"/>
        <w:widowControl/>
        <w:jc w:val="both"/>
        <w:rPr/>
      </w:pPr>
      <w:r>
        <w:rPr/>
      </w:r>
    </w:p>
    <w:p>
      <w:pPr>
        <w:pStyle w:val="Level1"/>
        <w:widowControl/>
        <w:numPr>
          <w:ilvl w:val="0"/>
          <w:numId w:val="2"/>
        </w:numPr>
        <w:tabs>
          <w:tab w:val="left" w:pos="720" w:leader="none"/>
        </w:tabs>
        <w:ind w:hanging="0" w:start="0"/>
        <w:jc w:val="both"/>
        <w:rPr/>
      </w:pPr>
      <w:r>
        <w:rPr>
          <w:b/>
        </w:rPr>
        <w:t>Dispute Resolution.</w:t>
      </w:r>
    </w:p>
    <w:p>
      <w:pPr>
        <w:pStyle w:val="Normal"/>
        <w:widowControl/>
        <w:jc w:val="both"/>
        <w:rPr/>
      </w:pPr>
      <w:r>
        <w:rPr/>
      </w:r>
    </w:p>
    <w:p>
      <w:pPr>
        <w:pStyle w:val="Level2"/>
        <w:widowControl/>
        <w:numPr>
          <w:ilvl w:val="1"/>
          <w:numId w:val="2"/>
        </w:numPr>
        <w:tabs>
          <w:tab w:val="left" w:pos="1440" w:leader="none"/>
        </w:tabs>
        <w:jc w:val="both"/>
        <w:rPr/>
      </w:pPr>
      <w:r>
        <w:rPr>
          <w:b/>
        </w:rPr>
        <w:t>"Resolution Time"</w:t>
      </w:r>
      <w:r>
        <w:rPr/>
        <w:t xml:space="preserve"> means 1:00 p.m., New York Time, on the Local Business Day following the date on which notice is given that gives rise to a dispute under Paragraph 5.</w:t>
      </w:r>
    </w:p>
    <w:p>
      <w:pPr>
        <w:pStyle w:val="Normal"/>
        <w:widowControl/>
        <w:jc w:val="both"/>
        <w:rPr/>
      </w:pPr>
      <w:r>
        <w:rPr/>
      </w:r>
    </w:p>
    <w:p>
      <w:pPr>
        <w:pStyle w:val="Level2"/>
        <w:widowControl/>
        <w:numPr>
          <w:ilvl w:val="1"/>
          <w:numId w:val="2"/>
        </w:numPr>
        <w:tabs>
          <w:tab w:val="left" w:pos="1440" w:leader="none"/>
        </w:tabs>
        <w:jc w:val="both"/>
        <w:rPr/>
      </w:pPr>
      <w:r>
        <w:rPr>
          <w:b/>
        </w:rPr>
        <w:t>Value.</w:t>
      </w:r>
      <w:r>
        <w:rPr/>
        <w:t xml:space="preserve">   For the purpose of Paragraphs 5(i)(c) and 5(ii), the Valuation Agent will determine the Value of Eligible Credit Support or Posted Credit Support by the bid quotations of any generally recognized dealer, and adding thereto any interest accrued but not paid to any person with respect to such securities through the day on which the determination is made.</w:t>
      </w:r>
    </w:p>
    <w:p>
      <w:pPr>
        <w:pStyle w:val="Normal"/>
        <w:widowControl/>
        <w:jc w:val="both"/>
        <w:rPr/>
      </w:pPr>
      <w:r>
        <w:rPr/>
      </w:r>
    </w:p>
    <w:p>
      <w:pPr>
        <w:pStyle w:val="Level2"/>
        <w:widowControl/>
        <w:numPr>
          <w:ilvl w:val="1"/>
          <w:numId w:val="2"/>
        </w:numPr>
        <w:tabs>
          <w:tab w:val="left" w:pos="1440" w:leader="none"/>
        </w:tabs>
        <w:jc w:val="both"/>
        <w:rPr/>
      </w:pPr>
      <w:r>
        <w:rPr>
          <w:b/>
        </w:rPr>
        <w:t>Alternative.</w:t>
      </w:r>
      <w:r>
        <w:rPr/>
        <w:t xml:space="preserve">  The provisions of  Paragraph 5 will apply, provided, however, that in the event of a dispute regarding the Value of securities which are Eligible Credit Support or Posted Credit Support, the other party may submit bid quotations from two other recognized dealers in which case, the Value of such securities shall be the average between those two quotations.</w:t>
      </w:r>
    </w:p>
    <w:p>
      <w:pPr>
        <w:pStyle w:val="Normal"/>
        <w:widowControl/>
        <w:jc w:val="both"/>
        <w:rPr/>
      </w:pPr>
      <w:r>
        <w:rPr/>
      </w:r>
    </w:p>
    <w:p>
      <w:pPr>
        <w:pStyle w:val="Level1"/>
        <w:widowControl/>
        <w:numPr>
          <w:ilvl w:val="0"/>
          <w:numId w:val="2"/>
        </w:numPr>
        <w:tabs>
          <w:tab w:val="left" w:pos="720" w:leader="none"/>
        </w:tabs>
        <w:ind w:hanging="0" w:start="0"/>
        <w:jc w:val="both"/>
        <w:rPr/>
      </w:pPr>
      <w:r>
        <w:rPr>
          <w:b/>
        </w:rPr>
        <w:t>Holding and Using Posted Collateral.</w:t>
      </w:r>
    </w:p>
    <w:p>
      <w:pPr>
        <w:pStyle w:val="Normal"/>
        <w:widowControl/>
        <w:jc w:val="both"/>
        <w:rPr/>
      </w:pPr>
      <w:r>
        <w:rPr/>
      </w:r>
    </w:p>
    <w:p>
      <w:pPr>
        <w:pStyle w:val="Level2"/>
        <w:widowControl/>
        <w:numPr>
          <w:ilvl w:val="1"/>
          <w:numId w:val="2"/>
        </w:numPr>
        <w:tabs>
          <w:tab w:val="left" w:pos="1440" w:leader="none"/>
        </w:tabs>
        <w:jc w:val="both"/>
        <w:rPr/>
      </w:pPr>
      <w:r>
        <w:rPr>
          <w:b/>
        </w:rPr>
        <w:t>Eligibility to Hold Posted Collateral; Custodians.</w:t>
      </w:r>
    </w:p>
    <w:p>
      <w:pPr>
        <w:pStyle w:val="Normal"/>
        <w:widowControl/>
        <w:jc w:val="both"/>
        <w:rPr/>
      </w:pPr>
      <w:r>
        <w:rPr/>
      </w:r>
    </w:p>
    <w:p>
      <w:pPr>
        <w:pStyle w:val="Normal"/>
        <w:widowControl/>
        <w:ind w:start="1440" w:end="0"/>
        <w:jc w:val="both"/>
        <w:rPr/>
      </w:pPr>
      <w:r>
        <w:rPr/>
        <w:t xml:space="preserve">Party A and its Custodian will be entitled to hold Posted Collateral pursuant to Paragraph 6(b); </w:t>
      </w:r>
      <w:r>
        <w:rPr>
          <w:i/>
        </w:rPr>
        <w:t>provided</w:t>
      </w:r>
      <w:r>
        <w:rPr/>
        <w:t xml:space="preserve"> that the following conditions applicable to it are satisfied:</w:t>
      </w:r>
    </w:p>
    <w:p>
      <w:pPr>
        <w:pStyle w:val="Normal"/>
        <w:widowControl/>
        <w:jc w:val="both"/>
        <w:rPr/>
      </w:pPr>
      <w:r>
        <w:rPr/>
      </w:r>
    </w:p>
    <w:p>
      <w:pPr>
        <w:pStyle w:val="Normal"/>
        <w:widowControl/>
        <w:ind w:firstLine="2160" w:end="0"/>
        <w:jc w:val="both"/>
        <w:rPr/>
      </w:pPr>
      <w:r>
        <w:rPr/>
        <w:t>(1)</w:t>
        <w:tab/>
        <w:t>Party A is not a Defaulting Party.</w:t>
      </w:r>
    </w:p>
    <w:p>
      <w:pPr>
        <w:pStyle w:val="Normal"/>
        <w:widowControl/>
        <w:jc w:val="both"/>
        <w:rPr/>
      </w:pPr>
      <w:r>
        <w:rPr/>
      </w:r>
    </w:p>
    <w:p>
      <w:pPr>
        <w:pStyle w:val="Normal"/>
        <w:widowControl/>
        <w:ind w:start="2160" w:end="0"/>
        <w:jc w:val="both"/>
        <w:rPr/>
      </w:pPr>
      <w:r>
        <w:rPr/>
        <w:t>(2)</w:t>
        <w:tab/>
        <w:t>Posted Collateral may be held only in the following jurisdictions: the State of  New York.</w:t>
      </w:r>
    </w:p>
    <w:p>
      <w:pPr>
        <w:pStyle w:val="Normal"/>
        <w:widowControl/>
        <w:jc w:val="both"/>
        <w:rPr/>
      </w:pPr>
      <w:r>
        <w:rPr/>
      </w:r>
    </w:p>
    <w:p>
      <w:pPr>
        <w:pStyle w:val="Normal"/>
        <w:widowControl/>
        <w:ind w:start="2160" w:end="0"/>
        <w:jc w:val="both"/>
        <w:rPr/>
      </w:pPr>
      <w:r>
        <w:rPr/>
        <w:t>(3)</w:t>
        <w:tab/>
        <w:t>The Custodian is a domestic office of a commercial bank or trust company organized under the laws of the United States or a political subdivision thereof having assets of at least $10 Billion and a long term debt or deposit rating of a least 1) Baa2 from Moody</w:t>
      </w:r>
      <w:r>
        <w:rPr>
          <w:rFonts w:cs="WP TypographicSymbols;Symbol" w:ascii="WP TypographicSymbols;Symbol" w:hAnsi="WP TypographicSymbols;Symbol"/>
        </w:rPr>
        <w:sym w:font="WP TypographicSymbols;Symbol" w:char="f03d"/>
      </w:r>
      <w:r>
        <w:rPr/>
        <w:t>s and 2) BBB from S&amp;P.</w:t>
      </w:r>
    </w:p>
    <w:p>
      <w:pPr>
        <w:pStyle w:val="Normal"/>
        <w:widowControl/>
        <w:jc w:val="both"/>
        <w:rPr/>
      </w:pPr>
      <w:r>
        <w:rPr/>
      </w:r>
    </w:p>
    <w:p>
      <w:pPr>
        <w:pStyle w:val="Normal"/>
        <w:widowControl/>
        <w:ind w:firstLine="2160" w:end="0"/>
        <w:jc w:val="both"/>
        <w:rPr/>
      </w:pPr>
      <w:r>
        <w:rPr/>
        <w:t>Initially, the Custodian for Party A is:   None.</w:t>
      </w:r>
    </w:p>
    <w:p>
      <w:pPr>
        <w:pStyle w:val="Normal"/>
        <w:widowControl/>
        <w:jc w:val="both"/>
        <w:rPr/>
      </w:pPr>
      <w:r>
        <w:rPr/>
      </w:r>
    </w:p>
    <w:p>
      <w:pPr>
        <w:pStyle w:val="Normal"/>
        <w:widowControl/>
        <w:ind w:start="1440" w:end="0"/>
        <w:jc w:val="both"/>
        <w:rPr/>
      </w:pPr>
      <w:r>
        <w:rPr/>
        <w:t xml:space="preserve">Party B and its Custodian will be entitled to hold Posted Collateral pursuant to Paragraph 6(b); </w:t>
      </w:r>
      <w:r>
        <w:rPr>
          <w:i/>
        </w:rPr>
        <w:t>provided</w:t>
      </w:r>
      <w:r>
        <w:rPr/>
        <w:t xml:space="preserve"> that the following conditions applicable to it are satisfied:</w:t>
      </w:r>
    </w:p>
    <w:p>
      <w:pPr>
        <w:pStyle w:val="Normal"/>
        <w:widowControl/>
        <w:jc w:val="both"/>
        <w:rPr/>
      </w:pPr>
      <w:r>
        <w:rPr/>
      </w:r>
    </w:p>
    <w:p>
      <w:pPr>
        <w:pStyle w:val="Normal"/>
        <w:widowControl/>
        <w:jc w:val="both"/>
        <w:rPr/>
      </w:pPr>
      <w:r>
        <w:rPr/>
      </w:r>
    </w:p>
    <w:p>
      <w:pPr>
        <w:sectPr>
          <w:type w:val="continuous"/>
          <w:pgSz w:w="12240" w:h="15840"/>
          <w:pgMar w:left="1440" w:right="1440" w:gutter="0" w:header="0" w:top="1224" w:footer="1224" w:bottom="1280"/>
          <w:formProt w:val="false"/>
          <w:textDirection w:val="lrTb"/>
          <w:docGrid w:type="default" w:linePitch="360" w:charSpace="0"/>
        </w:sectPr>
      </w:pPr>
    </w:p>
    <w:p>
      <w:pPr>
        <w:pStyle w:val="Normal"/>
        <w:widowControl/>
        <w:ind w:firstLine="2160" w:end="0"/>
        <w:jc w:val="both"/>
        <w:rPr/>
      </w:pPr>
      <w:r>
        <w:rPr/>
        <w:t>(1)</w:t>
        <w:tab/>
        <w:t>Party B is not a Defaulting Party.</w:t>
      </w:r>
    </w:p>
    <w:p>
      <w:pPr>
        <w:pStyle w:val="Normal"/>
        <w:widowControl/>
        <w:jc w:val="both"/>
        <w:rPr/>
      </w:pPr>
      <w:r>
        <w:rPr/>
      </w:r>
    </w:p>
    <w:p>
      <w:pPr>
        <w:pStyle w:val="Normal"/>
        <w:widowControl/>
        <w:ind w:start="2160" w:end="0"/>
        <w:jc w:val="both"/>
        <w:rPr/>
      </w:pPr>
      <w:r>
        <w:rPr/>
        <w:t>(2)</w:t>
        <w:tab/>
        <w:t>Posted Collateral may be held only in the following jurisdiction: the State of New York.</w:t>
      </w:r>
    </w:p>
    <w:p>
      <w:pPr>
        <w:pStyle w:val="Normal"/>
        <w:widowControl/>
        <w:jc w:val="both"/>
        <w:rPr/>
      </w:pPr>
      <w:r>
        <w:rPr/>
      </w:r>
    </w:p>
    <w:p>
      <w:pPr>
        <w:pStyle w:val="Normal"/>
        <w:widowControl/>
        <w:ind w:start="2160" w:end="0"/>
        <w:jc w:val="both"/>
        <w:rPr/>
      </w:pPr>
      <w:r>
        <w:rPr/>
        <w:t>(3)</w:t>
        <w:tab/>
        <w:t>Same as applicable to Party A, as set forth in (g)(i)(3) above.</w:t>
      </w:r>
    </w:p>
    <w:p>
      <w:pPr>
        <w:pStyle w:val="Normal"/>
        <w:widowControl/>
        <w:jc w:val="both"/>
        <w:rPr/>
      </w:pPr>
      <w:r>
        <w:rPr/>
      </w:r>
    </w:p>
    <w:p>
      <w:pPr>
        <w:pStyle w:val="Normal"/>
        <w:widowControl/>
        <w:ind w:firstLine="2160" w:end="0"/>
        <w:jc w:val="both"/>
        <w:rPr/>
      </w:pPr>
      <w:r>
        <w:rPr/>
        <w:t>Initially, the Custodian for Party B is: None.</w:t>
      </w:r>
    </w:p>
    <w:p>
      <w:pPr>
        <w:pStyle w:val="Normal"/>
        <w:widowControl/>
        <w:jc w:val="both"/>
        <w:rPr/>
      </w:pPr>
      <w:r>
        <w:rPr/>
      </w:r>
    </w:p>
    <w:p>
      <w:pPr>
        <w:pStyle w:val="Level2"/>
        <w:widowControl/>
        <w:numPr>
          <w:ilvl w:val="1"/>
          <w:numId w:val="2"/>
        </w:numPr>
        <w:tabs>
          <w:tab w:val="left" w:pos="1440" w:leader="none"/>
        </w:tabs>
        <w:jc w:val="both"/>
        <w:rPr/>
      </w:pPr>
      <w:r>
        <w:rPr>
          <w:b/>
        </w:rPr>
        <w:t>Use of Posted Collateral.</w:t>
      </w:r>
      <w:r>
        <w:rPr/>
        <w:t xml:space="preserve">  The provisions of Paragraph 6(c) will apply to Party A and Party B.</w:t>
      </w:r>
    </w:p>
    <w:p>
      <w:pPr>
        <w:pStyle w:val="Normal"/>
        <w:widowControl/>
        <w:jc w:val="both"/>
        <w:rPr/>
      </w:pPr>
      <w:r>
        <w:rPr/>
      </w:r>
    </w:p>
    <w:p>
      <w:pPr>
        <w:pStyle w:val="Level1"/>
        <w:widowControl/>
        <w:numPr>
          <w:ilvl w:val="0"/>
          <w:numId w:val="2"/>
        </w:numPr>
        <w:tabs>
          <w:tab w:val="left" w:pos="720" w:leader="none"/>
        </w:tabs>
        <w:ind w:hanging="0" w:start="0"/>
        <w:jc w:val="both"/>
        <w:rPr/>
      </w:pPr>
      <w:r>
        <w:rPr>
          <w:b/>
        </w:rPr>
        <w:t>Distributions and Interest Amount.</w:t>
      </w:r>
    </w:p>
    <w:p>
      <w:pPr>
        <w:pStyle w:val="Normal"/>
        <w:widowControl/>
        <w:jc w:val="both"/>
        <w:rPr/>
      </w:pPr>
      <w:r>
        <w:rPr/>
      </w:r>
    </w:p>
    <w:p>
      <w:pPr>
        <w:pStyle w:val="Level2"/>
        <w:widowControl/>
        <w:numPr>
          <w:ilvl w:val="1"/>
          <w:numId w:val="2"/>
        </w:numPr>
        <w:tabs>
          <w:tab w:val="left" w:pos="1440" w:leader="none"/>
        </w:tabs>
        <w:jc w:val="both"/>
        <w:rPr/>
      </w:pPr>
      <w:r>
        <w:rPr>
          <w:b/>
        </w:rPr>
        <w:t>Interest Rate.</w:t>
      </w:r>
      <w:r>
        <w:rPr/>
        <w:t xml:space="preserve">  The "Interest Rate" for each New York Business Day means the opening rate for overnight Federal Funds in effect for such day as reported on Telerate Page 5, and for each other day, such rate on the next preceding New York Banking Day.</w:t>
      </w:r>
    </w:p>
    <w:p>
      <w:pPr>
        <w:pStyle w:val="Normal"/>
        <w:widowControl/>
        <w:jc w:val="both"/>
        <w:rPr/>
      </w:pPr>
      <w:r>
        <w:rPr/>
      </w:r>
    </w:p>
    <w:p>
      <w:pPr>
        <w:pStyle w:val="Level2"/>
        <w:widowControl/>
        <w:numPr>
          <w:ilvl w:val="1"/>
          <w:numId w:val="2"/>
        </w:numPr>
        <w:tabs>
          <w:tab w:val="left" w:pos="1440" w:leader="none"/>
        </w:tabs>
        <w:jc w:val="both"/>
        <w:rPr/>
      </w:pPr>
      <w:r>
        <w:rPr>
          <w:b/>
        </w:rPr>
        <w:t>Transfer of Interest Amount.</w:t>
      </w:r>
      <w:r>
        <w:rPr/>
        <w:t xml:space="preserve">  The Transfer of the Interest Amount will be made on the last Local Business Day of each calender month and on any Local Business Day that Posted Collateral in the form of Cash is Transferred to the Pledgor pursuant to Paragraph 3(b).</w:t>
      </w:r>
    </w:p>
    <w:p>
      <w:pPr>
        <w:pStyle w:val="Normal"/>
        <w:widowControl/>
        <w:jc w:val="both"/>
        <w:rPr/>
      </w:pPr>
      <w:r>
        <w:rPr/>
      </w:r>
    </w:p>
    <w:p>
      <w:pPr>
        <w:pStyle w:val="Level2"/>
        <w:widowControl/>
        <w:numPr>
          <w:ilvl w:val="1"/>
          <w:numId w:val="2"/>
        </w:numPr>
        <w:tabs>
          <w:tab w:val="left" w:pos="1440" w:leader="none"/>
        </w:tabs>
        <w:jc w:val="both"/>
        <w:rPr/>
      </w:pPr>
      <w:r>
        <w:rPr>
          <w:b/>
        </w:rPr>
        <w:t>Alternative to Interest Amount.</w:t>
      </w:r>
      <w:r>
        <w:rPr/>
        <w:t xml:space="preserve">  The provisions of Paragraph 6(d)(ii) will apply.</w:t>
      </w:r>
    </w:p>
    <w:p>
      <w:pPr>
        <w:pStyle w:val="Normal"/>
        <w:widowControl/>
        <w:jc w:val="both"/>
        <w:rPr/>
      </w:pPr>
      <w:r>
        <w:rPr/>
      </w:r>
    </w:p>
    <w:p>
      <w:pPr>
        <w:pStyle w:val="Level1"/>
        <w:widowControl/>
        <w:numPr>
          <w:ilvl w:val="0"/>
          <w:numId w:val="2"/>
        </w:numPr>
        <w:tabs>
          <w:tab w:val="left" w:pos="720" w:leader="none"/>
        </w:tabs>
        <w:ind w:hanging="0" w:start="0"/>
        <w:jc w:val="both"/>
        <w:rPr/>
      </w:pPr>
      <w:r>
        <w:rPr>
          <w:b/>
        </w:rPr>
        <w:t>Additional Representations.</w:t>
      </w:r>
    </w:p>
    <w:p>
      <w:pPr>
        <w:pStyle w:val="Normal"/>
        <w:widowControl/>
        <w:jc w:val="both"/>
        <w:rPr/>
      </w:pPr>
      <w:r>
        <w:rPr/>
      </w:r>
    </w:p>
    <w:p>
      <w:pPr>
        <w:pStyle w:val="Normal"/>
        <w:widowControl/>
        <w:ind w:start="720" w:end="0"/>
        <w:jc w:val="both"/>
        <w:rPr/>
      </w:pPr>
      <w:r>
        <w:rPr/>
        <w:t>Party A and Party B each represents to the other (which representation will be deemed to be repeated as of each date on which it, as the Pledgor, Transfers Eligible Collateral) that all consents, approvals and other authorizations of any governmental authority that are required in connection with the Transfer of Eligible Collateral hereunder have been obtained and are in full force and effect.</w:t>
      </w:r>
    </w:p>
    <w:p>
      <w:pPr>
        <w:pStyle w:val="Normal"/>
        <w:widowControl/>
        <w:jc w:val="both"/>
        <w:rPr/>
      </w:pPr>
      <w:r>
        <w:rPr/>
      </w:r>
    </w:p>
    <w:p>
      <w:pPr>
        <w:pStyle w:val="Level1"/>
        <w:widowControl/>
        <w:numPr>
          <w:ilvl w:val="0"/>
          <w:numId w:val="2"/>
        </w:numPr>
        <w:tabs>
          <w:tab w:val="left" w:pos="720" w:leader="none"/>
        </w:tabs>
        <w:ind w:hanging="0" w:start="0"/>
        <w:jc w:val="both"/>
        <w:rPr/>
      </w:pPr>
      <w:r>
        <w:rPr>
          <w:b/>
        </w:rPr>
        <w:t>Other Eligible Support and Other Posted Support.</w:t>
      </w:r>
    </w:p>
    <w:p>
      <w:pPr>
        <w:pStyle w:val="Normal"/>
        <w:widowControl/>
        <w:jc w:val="both"/>
        <w:rPr/>
      </w:pPr>
      <w:r>
        <w:rPr/>
      </w:r>
    </w:p>
    <w:p>
      <w:pPr>
        <w:pStyle w:val="Level2"/>
        <w:widowControl/>
        <w:numPr>
          <w:ilvl w:val="1"/>
          <w:numId w:val="2"/>
        </w:numPr>
        <w:tabs>
          <w:tab w:val="left" w:pos="1440" w:leader="none"/>
        </w:tabs>
        <w:jc w:val="both"/>
        <w:rPr/>
      </w:pPr>
      <w:r>
        <w:rPr>
          <w:b/>
        </w:rPr>
        <w:t>"Value"</w:t>
      </w:r>
      <w:r>
        <w:rPr/>
        <w:t xml:space="preserve"> with respect to Other Eligible Support and Other Posted Support shall be not applicable.</w:t>
      </w:r>
    </w:p>
    <w:p>
      <w:pPr>
        <w:pStyle w:val="Normal"/>
        <w:widowControl/>
        <w:jc w:val="both"/>
        <w:rPr/>
      </w:pPr>
      <w:r>
        <w:rPr/>
      </w:r>
    </w:p>
    <w:p>
      <w:pPr>
        <w:pStyle w:val="Level2"/>
        <w:widowControl/>
        <w:numPr>
          <w:ilvl w:val="1"/>
          <w:numId w:val="2"/>
        </w:numPr>
        <w:tabs>
          <w:tab w:val="left" w:pos="1440" w:leader="none"/>
        </w:tabs>
        <w:jc w:val="both"/>
        <w:rPr/>
      </w:pPr>
      <w:r>
        <w:rPr>
          <w:b/>
        </w:rPr>
        <w:t>"Transfer"</w:t>
      </w:r>
      <w:r>
        <w:rPr/>
        <w:t xml:space="preserve"> with respect to Other Eligible Support and Other Posted Support shall be not applicable.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sectPr>
          <w:type w:val="continuous"/>
          <w:pgSz w:w="12240" w:h="15840"/>
          <w:pgMar w:left="1440" w:right="1440" w:gutter="0" w:header="0" w:top="1224" w:footer="1224" w:bottom="1280"/>
          <w:formProt w:val="false"/>
          <w:textDirection w:val="lrTb"/>
          <w:docGrid w:type="default" w:linePitch="360" w:charSpace="0"/>
        </w:sectPr>
      </w:pPr>
    </w:p>
    <w:p>
      <w:pPr>
        <w:pStyle w:val="Level1"/>
        <w:widowControl/>
        <w:numPr>
          <w:ilvl w:val="0"/>
          <w:numId w:val="2"/>
        </w:numPr>
        <w:tabs>
          <w:tab w:val="left" w:pos="720" w:leader="none"/>
        </w:tabs>
        <w:ind w:hanging="0" w:start="0"/>
        <w:jc w:val="both"/>
        <w:rPr/>
      </w:pPr>
      <w:r>
        <w:rPr>
          <w:b/>
        </w:rPr>
        <w:t>Demands and Notices.</w:t>
      </w:r>
      <w:r>
        <w:rPr/>
        <w:t xml:space="preserve">  All demands, specifications and notices under this Annex will be made pursuant to the Notices Section of this Agreement unless otherwise specified here:</w:t>
      </w:r>
    </w:p>
    <w:p>
      <w:pPr>
        <w:pStyle w:val="Normal"/>
        <w:widowControl/>
        <w:jc w:val="both"/>
        <w:rPr/>
      </w:pPr>
      <w:r>
        <w:rPr/>
      </w:r>
    </w:p>
    <w:p>
      <w:pPr>
        <w:pStyle w:val="Normal"/>
        <w:widowControl/>
        <w:ind w:firstLine="720" w:end="0"/>
        <w:jc w:val="both"/>
        <w:rPr/>
      </w:pPr>
      <w:r>
        <w:rPr/>
        <w:t>With respect to Party A:</w:t>
      </w:r>
    </w:p>
    <w:p>
      <w:pPr>
        <w:pStyle w:val="Normal"/>
        <w:widowControl/>
        <w:jc w:val="both"/>
        <w:rPr/>
      </w:pPr>
      <w:r>
        <w:rPr/>
      </w:r>
    </w:p>
    <w:p>
      <w:pPr>
        <w:pStyle w:val="Normal"/>
        <w:widowControl/>
        <w:ind w:firstLine="720" w:end="0"/>
        <w:jc w:val="both"/>
        <w:rPr/>
      </w:pPr>
      <w:r>
        <w:rPr/>
        <w:t>National Bank of Canada</w:t>
      </w:r>
    </w:p>
    <w:p>
      <w:pPr>
        <w:pStyle w:val="Normal"/>
        <w:widowControl/>
        <w:ind w:firstLine="720" w:end="0"/>
        <w:jc w:val="both"/>
        <w:rPr/>
      </w:pPr>
      <w:r>
        <w:rPr/>
        <w:t>1155 Metcalfe</w:t>
      </w:r>
    </w:p>
    <w:p>
      <w:pPr>
        <w:pStyle w:val="Normal"/>
        <w:widowControl/>
        <w:ind w:firstLine="720" w:end="0"/>
        <w:jc w:val="both"/>
        <w:rPr/>
      </w:pPr>
      <w:r>
        <w:rPr/>
        <w:t>Main Floor</w:t>
      </w:r>
    </w:p>
    <w:p>
      <w:pPr>
        <w:pStyle w:val="Normal"/>
        <w:widowControl/>
        <w:ind w:firstLine="720" w:end="0"/>
        <w:jc w:val="both"/>
        <w:rPr/>
      </w:pPr>
      <w:r>
        <w:rPr/>
        <w:t>Montreal (Quebec) H3B 5G2</w:t>
      </w:r>
    </w:p>
    <w:p>
      <w:pPr>
        <w:pStyle w:val="Normal"/>
        <w:widowControl/>
        <w:ind w:firstLine="720" w:end="0"/>
        <w:jc w:val="both"/>
        <w:rPr/>
      </w:pPr>
      <w:r>
        <w:rPr/>
        <w:t>Attention:</w:t>
        <w:tab/>
        <w:t>Treasury Operations</w:t>
      </w:r>
    </w:p>
    <w:p>
      <w:pPr>
        <w:pStyle w:val="Normal"/>
        <w:widowControl/>
        <w:ind w:firstLine="720" w:end="0"/>
        <w:jc w:val="both"/>
        <w:rPr/>
      </w:pPr>
      <w:r>
        <w:rPr/>
        <w:t>Telephone:</w:t>
        <w:tab/>
        <w:t>(514) 394-8732</w:t>
      </w:r>
    </w:p>
    <w:p>
      <w:pPr>
        <w:pStyle w:val="Normal"/>
        <w:widowControl/>
        <w:ind w:firstLine="720" w:end="0"/>
        <w:jc w:val="both"/>
        <w:rPr/>
      </w:pPr>
      <w:r>
        <w:rPr/>
        <w:t>Facsimile:</w:t>
        <w:tab/>
        <w:t>(514) 394-8219/8229</w:t>
      </w:r>
    </w:p>
    <w:p>
      <w:pPr>
        <w:pStyle w:val="Normal"/>
        <w:widowControl/>
        <w:jc w:val="both"/>
        <w:rPr/>
      </w:pPr>
      <w:r>
        <w:rPr/>
      </w:r>
    </w:p>
    <w:p>
      <w:pPr>
        <w:pStyle w:val="Normal"/>
        <w:keepNext w:val="true"/>
        <w:keepLines/>
        <w:widowControl/>
        <w:ind w:firstLine="720" w:end="0"/>
        <w:jc w:val="both"/>
        <w:rPr/>
      </w:pPr>
      <w:r>
        <w:rPr/>
        <w:t>With respect to Party B:</w:t>
      </w:r>
    </w:p>
    <w:p>
      <w:pPr>
        <w:pStyle w:val="Normal"/>
        <w:keepNext w:val="true"/>
        <w:keepLines/>
        <w:widowControl/>
        <w:jc w:val="both"/>
        <w:rPr/>
      </w:pPr>
      <w:r>
        <w:rPr/>
      </w:r>
    </w:p>
    <w:p>
      <w:pPr>
        <w:pStyle w:val="Normal"/>
        <w:keepNext w:val="true"/>
        <w:keepLines/>
        <w:widowControl/>
        <w:ind w:firstLine="720" w:end="0"/>
        <w:jc w:val="both"/>
        <w:rPr/>
      </w:pPr>
      <w:r>
        <w:rPr/>
        <w:t>.</w:t>
      </w:r>
    </w:p>
    <w:p>
      <w:pPr>
        <w:pStyle w:val="Normal"/>
        <w:keepNext w:val="true"/>
        <w:keepLines/>
        <w:widowControl/>
        <w:ind w:firstLine="720" w:end="0"/>
        <w:jc w:val="both"/>
        <w:rPr/>
      </w:pPr>
      <w:r>
        <w:rPr/>
      </w:r>
    </w:p>
    <w:p>
      <w:pPr>
        <w:pStyle w:val="Normal"/>
        <w:keepNext w:val="true"/>
        <w:keepLines/>
        <w:widowControl/>
        <w:ind w:firstLine="720" w:end="0"/>
        <w:jc w:val="both"/>
        <w:rPr/>
      </w:pPr>
      <w:r>
        <w:rPr/>
      </w:r>
    </w:p>
    <w:p>
      <w:pPr>
        <w:pStyle w:val="Normal"/>
        <w:keepNext w:val="true"/>
        <w:keepLines/>
        <w:widowControl/>
        <w:ind w:firstLine="720" w:end="0"/>
        <w:jc w:val="both"/>
        <w:rPr/>
      </w:pPr>
      <w:r>
        <w:rPr/>
      </w:r>
    </w:p>
    <w:p>
      <w:pPr>
        <w:pStyle w:val="Normal"/>
        <w:keepNext w:val="true"/>
        <w:keepLines/>
        <w:widowControl/>
        <w:ind w:firstLine="720" w:end="0"/>
        <w:jc w:val="both"/>
        <w:rPr/>
      </w:pPr>
      <w:r>
        <w:rPr/>
        <w:t xml:space="preserve">Attention: </w:t>
      </w:r>
    </w:p>
    <w:p>
      <w:pPr>
        <w:pStyle w:val="Normal"/>
        <w:keepNext w:val="true"/>
        <w:keepLines/>
        <w:widowControl/>
        <w:ind w:firstLine="720" w:end="0"/>
        <w:jc w:val="both"/>
        <w:rPr/>
      </w:pPr>
      <w:r>
        <w:rPr/>
        <w:t xml:space="preserve">Tel.: </w:t>
      </w:r>
    </w:p>
    <w:p>
      <w:pPr>
        <w:pStyle w:val="Normal"/>
        <w:keepNext w:val="true"/>
        <w:keepLines/>
        <w:widowControl/>
        <w:ind w:firstLine="720" w:end="0"/>
        <w:jc w:val="both"/>
        <w:rPr/>
      </w:pPr>
      <w:r>
        <w:rPr/>
        <w:t xml:space="preserve">Fax: </w:t>
      </w:r>
    </w:p>
    <w:p>
      <w:pPr>
        <w:pStyle w:val="Normal"/>
        <w:keepLines/>
        <w:widowControl/>
        <w:jc w:val="both"/>
        <w:rPr/>
      </w:pPr>
      <w:r>
        <w:rPr/>
      </w:r>
    </w:p>
    <w:p>
      <w:pPr>
        <w:pStyle w:val="Level1"/>
        <w:widowControl/>
        <w:numPr>
          <w:ilvl w:val="0"/>
          <w:numId w:val="2"/>
        </w:numPr>
        <w:tabs>
          <w:tab w:val="left" w:pos="720" w:leader="none"/>
        </w:tabs>
        <w:ind w:hanging="0" w:start="0"/>
        <w:jc w:val="both"/>
        <w:rPr/>
      </w:pPr>
      <w:r>
        <w:rPr>
          <w:b/>
        </w:rPr>
        <w:t>Posted Credit Support.</w:t>
      </w:r>
      <w:r>
        <w:rPr/>
        <w:t xml:space="preserve">  Paragraph 10(b) of this Annex is modified to read as follows:</w:t>
      </w:r>
    </w:p>
    <w:p>
      <w:pPr>
        <w:pStyle w:val="Normal"/>
        <w:widowControl/>
        <w:jc w:val="both"/>
        <w:rPr/>
      </w:pPr>
      <w:r>
        <w:rPr/>
      </w:r>
    </w:p>
    <w:p>
      <w:pPr>
        <w:pStyle w:val="Normal"/>
        <w:widowControl/>
        <w:ind w:start="720" w:end="0"/>
        <w:jc w:val="both"/>
        <w:rPr/>
      </w:pPr>
      <w:r>
        <w:rPr/>
        <w:t xml:space="preserve"> </w:t>
      </w:r>
      <w:r>
        <w:rPr/>
        <w:t>"</w:t>
      </w:r>
      <w:r>
        <w:rPr>
          <w:b/>
        </w:rPr>
        <w:t>Posted Credit Support.</w:t>
      </w:r>
      <w:r>
        <w:rPr/>
        <w:t xml:space="preserve">  The Pledgor will promptly pay when due all taxes, assessments or charges of any nature that are imposed with respect to Posted Credit Support held by the Secured Party upon becoming aware of the same, regardless of whether any portion of that Posted Credit Support is subsequently disposed of under Paragraph 6(c), except for transfer, recording or similar taxes that result from the exercise of the Secured Party</w:t>
      </w:r>
      <w:r>
        <w:rPr>
          <w:rFonts w:cs="WP TypographicSymbols;Symbol" w:ascii="WP TypographicSymbols;Symbol" w:hAnsi="WP TypographicSymbols;Symbol"/>
        </w:rPr>
        <w:sym w:font="WP TypographicSymbols;Symbol" w:char="f03d"/>
      </w:r>
      <w:r>
        <w:rPr/>
        <w:t>s rights under Paragraph 6(c)."</w:t>
      </w:r>
    </w:p>
    <w:p>
      <w:pPr>
        <w:pStyle w:val="Normal"/>
        <w:widowControl/>
        <w:jc w:val="both"/>
        <w:rPr/>
      </w:pPr>
      <w:r>
        <w:rPr/>
      </w:r>
    </w:p>
    <w:p>
      <w:pPr>
        <w:pStyle w:val="Level1"/>
        <w:widowControl/>
        <w:numPr>
          <w:ilvl w:val="0"/>
          <w:numId w:val="2"/>
        </w:numPr>
        <w:tabs>
          <w:tab w:val="left" w:pos="720" w:leader="none"/>
        </w:tabs>
        <w:ind w:hanging="0" w:start="0"/>
        <w:jc w:val="both"/>
        <w:rPr/>
      </w:pPr>
      <w:r>
        <w:rPr>
          <w:b/>
        </w:rPr>
        <w:t>Other Provisions.</w:t>
      </w:r>
    </w:p>
    <w:p>
      <w:pPr>
        <w:pStyle w:val="Normal"/>
        <w:widowControl/>
        <w:jc w:val="both"/>
        <w:rPr/>
      </w:pPr>
      <w:r>
        <w:rPr/>
      </w:r>
    </w:p>
    <w:p>
      <w:pPr>
        <w:pStyle w:val="Level2"/>
        <w:widowControl/>
        <w:numPr>
          <w:ilvl w:val="1"/>
          <w:numId w:val="2"/>
        </w:numPr>
        <w:tabs>
          <w:tab w:val="left" w:pos="1440" w:leader="none"/>
        </w:tabs>
        <w:jc w:val="both"/>
        <w:rPr/>
      </w:pPr>
      <w:r>
        <w:rPr>
          <w:b/>
        </w:rPr>
        <w:t>Form of Collateral.</w:t>
      </w:r>
      <w:r>
        <w:rPr/>
        <w:t xml:space="preserve">  All Eligible Credit Support or Posted Credit Support paid or delivered to either party shall be recorded in book entry form by a Federal Reserve Bank, as fiscal agent, and Pledgor shall (I) deliver to Secured Party a listing of such credit supports by title (or series), unpaid principal amount and maturity date and (ii) cause a Federal Reserve Bank to hold such credit supports for the account of the Secured Party or the Custodian (in a custody account), as applicable, in the name of the Secured Party or Custodian, as applicable.</w:t>
      </w:r>
    </w:p>
    <w:p>
      <w:pPr>
        <w:pStyle w:val="Normal"/>
        <w:widowControl/>
        <w:jc w:val="both"/>
        <w:rPr/>
      </w:pPr>
      <w:r>
        <w:rPr/>
      </w:r>
    </w:p>
    <w:p>
      <w:pPr>
        <w:pStyle w:val="Normal"/>
        <w:widowControl/>
        <w:jc w:val="both"/>
        <w:rPr/>
      </w:pPr>
      <w:r>
        <w:rPr/>
      </w:r>
    </w:p>
    <w:p>
      <w:pPr>
        <w:pStyle w:val="Normal"/>
        <w:widowControl/>
        <w:jc w:val="both"/>
        <w:rPr/>
      </w:pPr>
      <w:r>
        <w:rPr/>
      </w:r>
    </w:p>
    <w:p>
      <w:pPr>
        <w:sectPr>
          <w:type w:val="continuous"/>
          <w:pgSz w:w="12240" w:h="15840"/>
          <w:pgMar w:left="1440" w:right="1440" w:gutter="0" w:header="0" w:top="1224" w:footer="1224" w:bottom="1280"/>
          <w:formProt w:val="false"/>
          <w:textDirection w:val="lrTb"/>
          <w:docGrid w:type="default" w:linePitch="360" w:charSpace="0"/>
        </w:sectPr>
      </w:pPr>
    </w:p>
    <w:p>
      <w:pPr>
        <w:pStyle w:val="Level2"/>
        <w:widowControl/>
        <w:numPr>
          <w:ilvl w:val="1"/>
          <w:numId w:val="2"/>
        </w:numPr>
        <w:tabs>
          <w:tab w:val="left" w:pos="1440" w:leader="none"/>
        </w:tabs>
        <w:jc w:val="both"/>
        <w:rPr/>
      </w:pPr>
      <w:r>
        <w:rPr>
          <w:b/>
        </w:rPr>
        <w:t>Care of Posted Collateral.</w:t>
      </w:r>
      <w:r>
        <w:rPr/>
        <w:t xml:space="preserve">  Supplementing the provisions of Paragraph 6(a), the Secured Party shall also be deemed to have exercised reasonable care if it takes such action for that purpose as the Pledgor shall reasonably request in writing (but no omission to comply with any such request shall by itself be deemed a failure to exercise reasonable care).</w:t>
      </w:r>
    </w:p>
    <w:p>
      <w:pPr>
        <w:pStyle w:val="Normal"/>
        <w:widowControl/>
        <w:jc w:val="both"/>
        <w:rPr/>
      </w:pPr>
      <w:r>
        <w:rPr/>
      </w:r>
    </w:p>
    <w:p>
      <w:pPr>
        <w:pStyle w:val="Level2"/>
        <w:widowControl/>
        <w:numPr>
          <w:ilvl w:val="1"/>
          <w:numId w:val="2"/>
        </w:numPr>
        <w:tabs>
          <w:tab w:val="left" w:pos="1440" w:leader="none"/>
        </w:tabs>
        <w:jc w:val="both"/>
        <w:rPr/>
      </w:pPr>
      <w:r>
        <w:rPr>
          <w:b/>
        </w:rPr>
        <w:t>Use of Posted Credit Support.</w:t>
      </w:r>
      <w:r>
        <w:rPr/>
        <w:t xml:space="preserve">  Supplementing the provisions of Paragraph 6(c), the Secured Party may notify the obligors on any Posted Collateral to make payment to the Secured Party or its nominee or transferee of any amounts due thereon and to take control or grant its nominee the right to take control of any proceeds of any Posted Collateral.</w:t>
      </w:r>
    </w:p>
    <w:p>
      <w:pPr>
        <w:pStyle w:val="Normal"/>
        <w:widowControl/>
        <w:jc w:val="both"/>
        <w:rPr/>
      </w:pPr>
      <w:r>
        <w:rPr/>
      </w:r>
    </w:p>
    <w:p>
      <w:pPr>
        <w:pStyle w:val="Level2"/>
        <w:widowControl/>
        <w:numPr>
          <w:ilvl w:val="1"/>
          <w:numId w:val="2"/>
        </w:numPr>
        <w:tabs>
          <w:tab w:val="left" w:pos="1440" w:leader="none"/>
        </w:tabs>
        <w:jc w:val="both"/>
        <w:rPr/>
      </w:pPr>
      <w:r>
        <w:rPr>
          <w:b/>
        </w:rPr>
        <w:t>U.S. Bankruptcy Code Provisions.</w:t>
      </w:r>
      <w:r>
        <w:rPr/>
        <w:t xml:space="preserve">  (x) All transfers of Posted Collateral hereunder (including the grant of a security interest in Posted Collateral hereunder) are "transfers" "under" the Agreement within the meaning of Section 546(g) of the United States Bankruptcy Code; and (y) to the extent any Transaction constitutes a "forward contract" within the meaning of the United States Bankruptcy Code, transfers of Posted Collateral under the Annex are intended to be "margin payments" within the meaning of Section 101(38) of the United States Bankruptcy Code.</w:t>
      </w:r>
    </w:p>
    <w:p>
      <w:pPr>
        <w:pStyle w:val="Normal"/>
        <w:widowControl/>
        <w:jc w:val="both"/>
        <w:rPr/>
      </w:pPr>
      <w:r>
        <w:rPr/>
      </w:r>
    </w:p>
    <w:p>
      <w:pPr>
        <w:pStyle w:val="Level2"/>
        <w:widowControl/>
        <w:numPr>
          <w:ilvl w:val="1"/>
          <w:numId w:val="2"/>
        </w:numPr>
        <w:tabs>
          <w:tab w:val="left" w:pos="1440" w:leader="none"/>
        </w:tabs>
        <w:jc w:val="both"/>
        <w:rPr/>
      </w:pPr>
      <w:r>
        <w:rPr>
          <w:b/>
        </w:rPr>
        <w:t>Notices.</w:t>
      </w:r>
      <w:r>
        <w:rPr/>
        <w:t xml:space="preserve">  Any notice or communication hereunder shall be sufficiently given if given in accordance with the provisions of the Agreement and will be effective at the same time such notice or communication would be effective pursuant to Section 12 of the Agreement.  Notwithstanding the foregoing sentence, any communication by a party ("X") to the other party requesting the delivery or return of Eligible Credit Support or Posted Credit Support pursuant to Section 3 of this Annex may be given orally (including telephonically to the telephone number of Y set forth in subparagraph (k) above, or any other telephone number Y may notify X of in writing) during normal business hours in the city in which Y is located on any Local Business Day to any officer of Y or any employee or agent of Y, which officer, agent or employee identifies himself or herself as being permitted to receive oral communications with respect to this Annex.  Any such oral communication will be deemed received and effective when actually received by any such officer or employee or agent.  X shall deliver to Y, within one Local Business Day following receipt of an oral or written request by Y, a written confirmation of any such oral communication.</w:t>
      </w:r>
    </w:p>
    <w:p>
      <w:pPr>
        <w:pStyle w:val="Normal"/>
        <w:widowControl/>
        <w:jc w:val="both"/>
        <w:rPr/>
      </w:pPr>
      <w:r>
        <w:rPr/>
      </w:r>
    </w:p>
    <w:p>
      <w:pPr>
        <w:pStyle w:val="Level2"/>
        <w:widowControl/>
        <w:numPr>
          <w:ilvl w:val="1"/>
          <w:numId w:val="2"/>
        </w:numPr>
        <w:tabs>
          <w:tab w:val="left" w:pos="1440" w:leader="none"/>
        </w:tabs>
        <w:jc w:val="both"/>
        <w:rPr/>
      </w:pPr>
      <w:r>
        <w:rPr>
          <w:b/>
        </w:rPr>
        <w:t>Additional Secured Party</w:t>
      </w:r>
      <w:r>
        <w:rPr>
          <w:rFonts w:cs="WP TypographicSymbols;Symbol" w:ascii="WP TypographicSymbols;Symbol" w:hAnsi="WP TypographicSymbols;Symbol"/>
          <w:b/>
        </w:rPr>
        <w:sym w:font="WP TypographicSymbols;Symbol" w:char="f03d"/>
      </w:r>
      <w:r>
        <w:rPr>
          <w:b/>
        </w:rPr>
        <w:t>s Rights and Remedies.</w:t>
      </w:r>
      <w:r>
        <w:rPr/>
        <w:t xml:space="preserve">  Paragraph 8 is hereby amended by adding thereto the following clauses:</w:t>
      </w:r>
    </w:p>
    <w:p>
      <w:pPr>
        <w:pStyle w:val="Normal"/>
        <w:widowControl/>
        <w:jc w:val="both"/>
        <w:rPr/>
      </w:pPr>
      <w:r>
        <w:rPr/>
      </w:r>
    </w:p>
    <w:p>
      <w:pPr>
        <w:pStyle w:val="Normal"/>
        <w:widowControl/>
        <w:ind w:start="1440" w:end="0"/>
        <w:jc w:val="both"/>
        <w:rPr/>
      </w:pPr>
      <w:r>
        <w:rPr/>
        <w:t>(b)  Supplementing the provisions of Paragraph 8(a), the Pledgor irrevocably appoints the Secured Party its attorney-in-fact, with full authority in its place and stead and in its name, from time to time in the Secured Party</w:t>
      </w:r>
      <w:r>
        <w:rPr>
          <w:rFonts w:cs="WP TypographicSymbols;Symbol" w:ascii="WP TypographicSymbols;Symbol" w:hAnsi="WP TypographicSymbols;Symbol"/>
        </w:rPr>
        <w:sym w:font="WP TypographicSymbols;Symbol" w:char="f03d"/>
      </w:r>
      <w:r>
        <w:rPr/>
        <w:t>s discretion, to take any action and to execute any instrument which the Secured Party may deem necessary or advisable to accomplish the purposes of this Annex, including without limitation:</w:t>
      </w:r>
    </w:p>
    <w:p>
      <w:pPr>
        <w:pStyle w:val="Normal"/>
        <w:widowControl/>
        <w:jc w:val="both"/>
        <w:rPr/>
      </w:pPr>
      <w:r>
        <w:rPr/>
      </w:r>
    </w:p>
    <w:p>
      <w:pPr>
        <w:sectPr>
          <w:type w:val="continuous"/>
          <w:pgSz w:w="12240" w:h="15840"/>
          <w:pgMar w:left="1440" w:right="1440" w:gutter="0" w:header="0" w:top="1224" w:footer="1224" w:bottom="1280"/>
          <w:formProt w:val="false"/>
          <w:textDirection w:val="lrTb"/>
          <w:docGrid w:type="default" w:linePitch="360" w:charSpace="0"/>
        </w:sectPr>
      </w:pPr>
    </w:p>
    <w:p>
      <w:pPr>
        <w:pStyle w:val="Normal"/>
        <w:widowControl/>
        <w:ind w:start="2160" w:end="0"/>
        <w:jc w:val="both"/>
        <w:rPr/>
      </w:pPr>
      <w:r>
        <w:rPr/>
        <w:t>(i)</w:t>
        <w:tab/>
        <w:t>to ask, demand, collect, sue for, recover, compromise, receive and give acquittance and receipts for moneys due and to become due under or in respect of  any Posted Collateral and to perform all other acts as fully as though the Secured Party were the absolute owner of the Posted Collateral for all purposes,</w:t>
      </w:r>
    </w:p>
    <w:p>
      <w:pPr>
        <w:pStyle w:val="Normal"/>
        <w:widowControl/>
        <w:jc w:val="both"/>
        <w:rPr/>
      </w:pPr>
      <w:r>
        <w:rPr/>
      </w:r>
    </w:p>
    <w:p>
      <w:pPr>
        <w:pStyle w:val="Normal"/>
        <w:widowControl/>
        <w:ind w:start="2160" w:end="0"/>
        <w:jc w:val="both"/>
        <w:rPr/>
      </w:pPr>
      <w:r>
        <w:rPr/>
        <w:t>(ii)</w:t>
        <w:tab/>
        <w:t>to receive, endorse, and collect any drafts or other instruments, documents and chattel paper, in connexion with clause (i) above, and</w:t>
      </w:r>
    </w:p>
    <w:p>
      <w:pPr>
        <w:pStyle w:val="Normal"/>
        <w:widowControl/>
        <w:jc w:val="both"/>
        <w:rPr/>
      </w:pPr>
      <w:r>
        <w:rPr/>
      </w:r>
    </w:p>
    <w:p>
      <w:pPr>
        <w:pStyle w:val="Normal"/>
        <w:widowControl/>
        <w:ind w:start="2160" w:end="0"/>
        <w:jc w:val="both"/>
        <w:rPr/>
      </w:pPr>
      <w:r>
        <w:rPr/>
        <w:t>(iii)</w:t>
        <w:tab/>
        <w:t>to file any claims or take any action or institute any proceedings which the Secured Party may deem necessary or desirable for the collection of any of the Posted Collateral or otherwise to enforce the rights of the Secured Party with respect to any Posted Collateral.</w:t>
      </w:r>
    </w:p>
    <w:p>
      <w:pPr>
        <w:pStyle w:val="Normal"/>
        <w:widowControl/>
        <w:jc w:val="both"/>
        <w:rPr/>
      </w:pPr>
      <w:r>
        <w:rPr/>
      </w:r>
    </w:p>
    <w:p>
      <w:pPr>
        <w:pStyle w:val="Normal"/>
        <w:widowControl/>
        <w:ind w:start="1440" w:end="0"/>
        <w:jc w:val="both"/>
        <w:rPr/>
      </w:pPr>
      <w:r>
        <w:rPr/>
        <w:t>(c)  Further supplementing the provisions of Paragraph 8(a), the Secured Party may apply Eligible Credit Support or Posted Credit Support to pay any amounts due by Pledgor to Secured Party pursuant to this Agreement, including any Transaction.</w:t>
      </w:r>
    </w:p>
    <w:p>
      <w:pPr>
        <w:pStyle w:val="Normal"/>
        <w:widowControl/>
        <w:jc w:val="both"/>
        <w:rPr/>
      </w:pPr>
      <w:r>
        <w:rPr/>
      </w:r>
    </w:p>
    <w:p>
      <w:pPr>
        <w:pStyle w:val="Level2"/>
        <w:widowControl/>
        <w:numPr>
          <w:ilvl w:val="1"/>
          <w:numId w:val="2"/>
        </w:numPr>
        <w:tabs>
          <w:tab w:val="left" w:pos="1440" w:leader="none"/>
        </w:tabs>
        <w:jc w:val="both"/>
        <w:rPr/>
      </w:pPr>
      <w:r>
        <w:rPr>
          <w:b/>
        </w:rPr>
        <w:t>Actions Hereunder.</w:t>
      </w:r>
      <w:r>
        <w:rPr/>
        <w:t xml:space="preserve">  Either party may take any action hereunder through its Custodian.</w:t>
      </w:r>
    </w:p>
    <w:p>
      <w:pPr>
        <w:pStyle w:val="Normal"/>
        <w:widowControl/>
        <w:jc w:val="both"/>
        <w:rPr/>
      </w:pPr>
      <w:r>
        <w:rPr/>
      </w:r>
    </w:p>
    <w:p>
      <w:pPr>
        <w:pStyle w:val="Level2"/>
        <w:widowControl/>
        <w:numPr>
          <w:ilvl w:val="1"/>
          <w:numId w:val="2"/>
        </w:numPr>
        <w:tabs>
          <w:tab w:val="left" w:pos="1440" w:leader="none"/>
        </w:tabs>
        <w:jc w:val="both"/>
        <w:rPr/>
      </w:pPr>
      <w:r>
        <w:rPr>
          <w:b/>
        </w:rPr>
        <w:t>Severability.</w:t>
      </w:r>
      <w:r>
        <w:rPr/>
        <w:t xml:space="preserve">   Any provision of this Annex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widowControl/>
        <w:jc w:val="both"/>
        <w:rPr/>
      </w:pPr>
      <w:r>
        <w:rPr/>
      </w:r>
    </w:p>
    <w:p>
      <w:pPr>
        <w:pStyle w:val="Level2"/>
        <w:widowControl/>
        <w:numPr>
          <w:ilvl w:val="1"/>
          <w:numId w:val="2"/>
        </w:numPr>
        <w:tabs>
          <w:tab w:val="left" w:pos="1440" w:leader="none"/>
        </w:tabs>
        <w:jc w:val="both"/>
        <w:rPr/>
      </w:pPr>
      <w:r>
        <w:rPr>
          <w:b/>
        </w:rPr>
        <w:t>Successors.</w:t>
      </w:r>
      <w:r>
        <w:rPr/>
        <w:t xml:space="preserve">   This Annex and all obligations of the parties hereunder shall be binding upon than respective successors and assigns and shall, together with the rights and remedies, inure to their benefit.</w:t>
      </w:r>
    </w:p>
    <w:p>
      <w:pPr>
        <w:pStyle w:val="Normal"/>
        <w:widowControl/>
        <w:jc w:val="both"/>
        <w:rPr/>
      </w:pPr>
      <w:r>
        <w:rPr/>
      </w:r>
    </w:p>
    <w:p>
      <w:pPr>
        <w:pStyle w:val="Level2"/>
        <w:widowControl/>
        <w:numPr>
          <w:ilvl w:val="1"/>
          <w:numId w:val="2"/>
        </w:numPr>
        <w:tabs>
          <w:tab w:val="left" w:pos="1440" w:leader="none"/>
        </w:tabs>
        <w:jc w:val="both"/>
        <w:rPr/>
      </w:pPr>
      <w:r>
        <w:rPr>
          <w:b/>
        </w:rPr>
        <w:t>No Third Party Rights.</w:t>
      </w:r>
      <w:r>
        <w:rPr/>
        <w:t xml:space="preserve">  This Annex has been and is made solely for the benefit of Party A and Party B and their respective assigns, and no other person, partnership, association, corporation or other entity shall acquire or have any right under or by virtue of this Credit Support Annex.</w:t>
      </w:r>
    </w:p>
    <w:p>
      <w:pPr>
        <w:pStyle w:val="Normal"/>
        <w:widowControl/>
        <w:jc w:val="both"/>
        <w:rPr/>
      </w:pPr>
      <w:r>
        <w:rPr/>
      </w:r>
    </w:p>
    <w:p>
      <w:pPr>
        <w:pStyle w:val="Level2"/>
        <w:widowControl/>
        <w:numPr>
          <w:ilvl w:val="1"/>
          <w:numId w:val="2"/>
        </w:numPr>
        <w:tabs>
          <w:tab w:val="left" w:pos="1440" w:leader="none"/>
        </w:tabs>
        <w:jc w:val="both"/>
        <w:rPr/>
      </w:pPr>
      <w:r>
        <w:rPr>
          <w:b/>
        </w:rPr>
        <w:t>Judgment Currency.</w:t>
      </w:r>
      <w:r>
        <w:rPr/>
        <w:t xml:space="preserve">  (1) If for the purposes of obtaining judgment in any court it is necessary to convert all or any part of any amount due to either party hereunder in any currency (the "Original Currency") into another currency (the "Other Currency") the payer, to the fullest extent that it may effectively do so, agrees that the rate of exchange used shall be that at which, in accordance with normal banking procedures, the payee could purchase the Original Currency with the Other Currency at its principal offices in New York City on a New York Banking Day immediately preceding the day on which any such judgment, or any relevant part thereof, is paid or otherwise satisfied.</w:t>
      </w:r>
    </w:p>
    <w:p>
      <w:pPr>
        <w:pStyle w:val="Normal"/>
        <w:widowControl/>
        <w:jc w:val="both"/>
        <w:rPr/>
      </w:pPr>
      <w:r>
        <w:rPr/>
      </w:r>
    </w:p>
    <w:p>
      <w:pPr>
        <w:sectPr>
          <w:type w:val="continuous"/>
          <w:pgSz w:w="12240" w:h="15840"/>
          <w:pgMar w:left="1440" w:right="1440" w:gutter="0" w:header="0" w:top="1224" w:footer="1224" w:bottom="1280"/>
          <w:formProt w:val="false"/>
          <w:textDirection w:val="lrTb"/>
          <w:docGrid w:type="default" w:linePitch="360" w:charSpace="0"/>
        </w:sectPr>
      </w:pPr>
    </w:p>
    <w:p>
      <w:pPr>
        <w:pStyle w:val="Normal"/>
        <w:widowControl/>
        <w:ind w:firstLine="720" w:start="720" w:end="0"/>
        <w:jc w:val="both"/>
        <w:rPr/>
      </w:pPr>
      <w:r>
        <w:rPr/>
        <w:t>(2) The obligation of either party in respect of any sum due hereunder in the Original Currency shall, notwithstanding any judgment in any Other Currency, be discharged only to the extent that on the New York Banking Day following receipt by a party of any sum adjudged to be so due in such Other Currency or of any other sum in any Other Currency the payee may, in accordance with its normal banking procedures, purchase the Original Currency with such Other Currency.  If the amount of the Original Currency so purchased is less than the sum originally due to the payee in the Original Currency, the payer shall, as a separate obligation and notwithstanding any such judgment, indemnify the payee against such loss, and if the amount of the Original Currency so purchased exceeds the sum originally due to the payee, the payee shall remit such excess to the payer.</w:t>
      </w:r>
    </w:p>
    <w:p>
      <w:pPr>
        <w:pStyle w:val="Normal"/>
        <w:widowControl/>
        <w:jc w:val="both"/>
        <w:rPr/>
      </w:pPr>
      <w:r>
        <w:rPr/>
      </w:r>
    </w:p>
    <w:p>
      <w:pPr>
        <w:pStyle w:val="Level2"/>
        <w:widowControl/>
        <w:numPr>
          <w:ilvl w:val="1"/>
          <w:numId w:val="2"/>
        </w:numPr>
        <w:tabs>
          <w:tab w:val="left" w:pos="1440" w:leader="none"/>
        </w:tabs>
        <w:jc w:val="both"/>
        <w:rPr/>
      </w:pPr>
      <w:r>
        <w:rPr>
          <w:b/>
        </w:rPr>
        <w:t>Exposure Reduction Payment and Coupon Amendment.</w:t>
      </w:r>
    </w:p>
    <w:p>
      <w:pPr>
        <w:pStyle w:val="Normal"/>
        <w:widowControl/>
        <w:jc w:val="both"/>
        <w:rPr/>
      </w:pPr>
      <w:r>
        <w:rPr/>
      </w:r>
    </w:p>
    <w:p>
      <w:pPr>
        <w:pStyle w:val="Normal"/>
        <w:widowControl/>
        <w:ind w:start="1440" w:end="0"/>
        <w:jc w:val="both"/>
        <w:rPr/>
      </w:pPr>
      <w:r>
        <w:rPr/>
        <w:t>(1)</w:t>
        <w:tab/>
        <w:t>As an alternative to the obligations created under Paragraph 3 of this Credit Support Annex, the parties hereto agree that in lieu of a Transfer of the Delivery Amount as provided for in said paragraph, the Pledgor will, at his option, have the right  to pay an amount equal to the Exposure Reduction Amount (the "Exposure Reduction Amount") which shall equal to the value of the Delivery Amount plus 25% of the Threshold.  In such an instance the Pledgor shall also make a proposal (a "Proposal") for amendments to any existing Transaction or Transactions in accordance with the following Sub-paragraph.</w:t>
      </w:r>
    </w:p>
    <w:p>
      <w:pPr>
        <w:pStyle w:val="Normal"/>
        <w:widowControl/>
        <w:jc w:val="both"/>
        <w:rPr/>
      </w:pPr>
      <w:r>
        <w:rPr/>
      </w:r>
    </w:p>
    <w:p>
      <w:pPr>
        <w:pStyle w:val="Normal"/>
        <w:widowControl/>
        <w:ind w:start="1440" w:end="0"/>
        <w:jc w:val="both"/>
        <w:rPr/>
      </w:pPr>
      <w:r>
        <w:rPr/>
        <w:t>(2)</w:t>
        <w:tab/>
        <w:t xml:space="preserve">The Proposal will provide for the payment by the Pledgor, in Cash, of the Exposure Reduction Amount  and will identify the Transaction or Transactions to be amended and the proposed amendments.  The amendments (A) will be variations of the applicable reference rates effective  the date on which payment of each Exposure Reduction Amount is received by the Secured Party, (B) will reflect current market and banking practices and  (C)  will create a portfolio of Transactions with a resulting Exposure, the value of which is equal to the previous  Exposure less the Exposure. </w:t>
      </w:r>
    </w:p>
    <w:p>
      <w:pPr>
        <w:pStyle w:val="Normal"/>
        <w:widowControl/>
        <w:jc w:val="both"/>
        <w:rPr/>
      </w:pPr>
      <w:r>
        <w:rPr/>
      </w:r>
    </w:p>
    <w:p>
      <w:pPr>
        <w:pStyle w:val="Normal"/>
        <w:widowControl/>
        <w:ind w:start="1440" w:end="0"/>
        <w:jc w:val="both"/>
        <w:rPr/>
      </w:pPr>
      <w:r>
        <w:rPr/>
        <w:t>(3)</w:t>
        <w:tab/>
        <w:t>For the purpose of this Paragraph 13(m)(xii), the parties hereto agree that the provisions of Paragraph 4(a), (b) and (c) and of Paragraph 5 of this Credit Support Annex shall apply to this Paragraph 13(m)(xii), provided that the necessary adjustments are made in order to give full effect to their intent.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sectPr>
          <w:type w:val="continuous"/>
          <w:pgSz w:w="12240" w:h="15840"/>
          <w:pgMar w:left="1440" w:right="1440" w:gutter="0" w:header="0" w:top="1224" w:footer="1224" w:bottom="1280"/>
          <w:formProt w:val="false"/>
          <w:textDirection w:val="lrTb"/>
          <w:docGrid w:type="default" w:linePitch="360" w:charSpace="0"/>
        </w:sectPr>
      </w:pPr>
    </w:p>
    <w:p>
      <w:pPr>
        <w:pStyle w:val="Normal"/>
        <w:widowControl/>
        <w:ind w:firstLine="720" w:end="0"/>
        <w:jc w:val="both"/>
        <w:rPr/>
      </w:pPr>
      <w:r>
        <w:rPr/>
        <w:t>IN WITNESS WHEREOF, the parties hereto have executed this ISDA Credit Support Annex as of the date first above written.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tbl>
      <w:tblPr>
        <w:tblW w:w="9360" w:type="dxa"/>
        <w:jc w:val="start"/>
        <w:tblInd w:w="120" w:type="dxa"/>
        <w:tblLayout w:type="fixed"/>
        <w:tblCellMar>
          <w:top w:w="0" w:type="dxa"/>
          <w:start w:w="120" w:type="dxa"/>
          <w:bottom w:w="0" w:type="dxa"/>
          <w:end w:w="120" w:type="dxa"/>
        </w:tblCellMar>
      </w:tblPr>
      <w:tblGrid>
        <w:gridCol w:w="4680"/>
        <w:gridCol w:w="4680"/>
      </w:tblGrid>
      <w:tr>
        <w:trPr/>
        <w:tc>
          <w:tcPr>
            <w:tcW w:w="4680" w:type="dxa"/>
            <w:tcBorders/>
          </w:tcPr>
          <w:p>
            <w:pPr>
              <w:pStyle w:val="Normal"/>
              <w:snapToGrid w:val="false"/>
              <w:spacing w:lineRule="exact" w:line="120"/>
              <w:rPr/>
            </w:pPr>
            <w:r>
              <w:rPr/>
            </w:r>
          </w:p>
          <w:p>
            <w:pPr>
              <w:pStyle w:val="Normal"/>
              <w:widowControl/>
              <w:spacing w:before="0" w:after="58"/>
              <w:rPr>
                <w:b/>
              </w:rPr>
            </w:pPr>
            <w:r>
              <w:rPr>
                <w:b/>
              </w:rPr>
              <w:t>NATIONAL BANK OF CANADA</w:t>
            </w:r>
          </w:p>
        </w:tc>
        <w:tc>
          <w:tcPr>
            <w:tcW w:w="4680" w:type="dxa"/>
            <w:tcBorders/>
          </w:tcPr>
          <w:p>
            <w:pPr>
              <w:pStyle w:val="Normal"/>
              <w:snapToGrid w:val="false"/>
              <w:spacing w:lineRule="exact" w:line="120"/>
              <w:rPr/>
            </w:pPr>
            <w:r>
              <w:rPr/>
            </w:r>
          </w:p>
          <w:p>
            <w:pPr>
              <w:pStyle w:val="Normal"/>
              <w:widowControl/>
              <w:rPr>
                <w:b/>
              </w:rPr>
            </w:pPr>
            <w:r>
              <w:rPr>
                <w:b/>
              </w:rPr>
            </w:r>
          </w:p>
          <w:p>
            <w:pPr>
              <w:pStyle w:val="Normal"/>
              <w:widowControl/>
              <w:spacing w:before="0" w:after="58"/>
              <w:rPr>
                <w:b/>
              </w:rPr>
            </w:pPr>
            <w:r>
              <w:rPr>
                <w:b/>
              </w:rPr>
              <w:t xml:space="preserve"> </w:t>
            </w:r>
          </w:p>
        </w:tc>
      </w:tr>
      <w:tr>
        <w:trPr/>
        <w:tc>
          <w:tcPr>
            <w:tcW w:w="4680" w:type="dxa"/>
            <w:tcBorders/>
          </w:tcPr>
          <w:p>
            <w:pPr>
              <w:pStyle w:val="Normal"/>
              <w:snapToGrid w:val="false"/>
              <w:spacing w:lineRule="exact" w:line="120"/>
              <w:rPr/>
            </w:pPr>
            <w:r>
              <w:rPr/>
            </w:r>
          </w:p>
          <w:p>
            <w:pPr>
              <w:pStyle w:val="Normal"/>
              <w:widowControl/>
              <w:rPr/>
            </w:pPr>
            <w:r>
              <w:rPr/>
            </w:r>
          </w:p>
          <w:p>
            <w:pPr>
              <w:pStyle w:val="Normal"/>
              <w:widowControl/>
              <w:tabs>
                <w:tab w:val="clear" w:pos="720"/>
                <w:tab w:val="left" w:pos="-1440" w:leader="none"/>
              </w:tabs>
              <w:ind w:hanging="720" w:start="720" w:end="0"/>
              <w:rPr/>
            </w:pPr>
            <w:r>
              <w:rPr/>
              <w:t>By:</w:t>
              <w:tab/>
              <w:t>______________________________</w:t>
            </w:r>
          </w:p>
          <w:p>
            <w:pPr>
              <w:pStyle w:val="Normal"/>
              <w:widowControl/>
              <w:tabs>
                <w:tab w:val="clear" w:pos="720"/>
                <w:tab w:val="left" w:pos="-1440" w:leader="none"/>
              </w:tabs>
              <w:ind w:hanging="720" w:start="1440" w:end="0"/>
              <w:rPr/>
            </w:pPr>
            <w:r>
              <w:rPr>
                <w:sz w:val="19"/>
              </w:rPr>
              <w:t>Name:</w:t>
            </w:r>
            <w:r>
              <w:rPr/>
              <w:tab/>
            </w:r>
            <w:r>
              <w:rPr>
                <w:sz w:val="18"/>
              </w:rPr>
              <w:t>Denis Pellerin</w:t>
            </w:r>
          </w:p>
          <w:p>
            <w:pPr>
              <w:pStyle w:val="Normal"/>
              <w:widowControl/>
              <w:tabs>
                <w:tab w:val="clear" w:pos="720"/>
                <w:tab w:val="left" w:pos="-1440" w:leader="none"/>
              </w:tabs>
              <w:spacing w:before="0" w:after="58"/>
              <w:ind w:hanging="720" w:start="1440" w:end="0"/>
              <w:rPr>
                <w:sz w:val="19"/>
              </w:rPr>
            </w:pPr>
            <w:r>
              <w:rPr>
                <w:sz w:val="19"/>
              </w:rPr>
              <w:t>Title:</w:t>
              <w:tab/>
              <w:t>Senior Vice President, Financial Markets and Treasury Operations</w:t>
            </w:r>
          </w:p>
        </w:tc>
        <w:tc>
          <w:tcPr>
            <w:tcW w:w="4680" w:type="dxa"/>
            <w:tcBorders/>
          </w:tcPr>
          <w:p>
            <w:pPr>
              <w:pStyle w:val="Normal"/>
              <w:snapToGrid w:val="false"/>
              <w:spacing w:lineRule="exact" w:line="120"/>
              <w:rPr/>
            </w:pPr>
            <w:r>
              <w:rPr/>
            </w:r>
          </w:p>
          <w:p>
            <w:pPr>
              <w:pStyle w:val="Normal"/>
              <w:widowControl/>
              <w:rPr/>
            </w:pPr>
            <w:r>
              <w:rPr/>
            </w:r>
          </w:p>
          <w:p>
            <w:pPr>
              <w:pStyle w:val="Normal"/>
              <w:widowControl/>
              <w:tabs>
                <w:tab w:val="clear" w:pos="720"/>
                <w:tab w:val="left" w:pos="-1440" w:leader="none"/>
              </w:tabs>
              <w:ind w:hanging="720" w:start="720" w:end="0"/>
              <w:rPr/>
            </w:pPr>
            <w:r>
              <w:rPr/>
              <w:t>By:</w:t>
              <w:tab/>
              <w:t>______________________________</w:t>
            </w:r>
          </w:p>
          <w:p>
            <w:pPr>
              <w:pStyle w:val="Normal"/>
              <w:widowControl/>
              <w:tabs>
                <w:tab w:val="clear" w:pos="720"/>
                <w:tab w:val="left" w:pos="-1440" w:leader="none"/>
              </w:tabs>
              <w:ind w:hanging="1440" w:start="2160" w:end="0"/>
              <w:rPr/>
            </w:pPr>
            <w:r>
              <w:rPr>
                <w:sz w:val="19"/>
              </w:rPr>
              <w:t>Name:</w:t>
              <w:tab/>
            </w:r>
            <w:r>
              <w:rPr/>
              <w:tab/>
            </w:r>
          </w:p>
          <w:p>
            <w:pPr>
              <w:pStyle w:val="Normal"/>
              <w:widowControl/>
              <w:tabs>
                <w:tab w:val="clear" w:pos="720"/>
                <w:tab w:val="left" w:pos="-1440" w:leader="none"/>
              </w:tabs>
              <w:spacing w:before="0" w:after="58"/>
              <w:ind w:hanging="720" w:start="1440" w:end="0"/>
              <w:rPr>
                <w:sz w:val="19"/>
              </w:rPr>
            </w:pPr>
            <w:r>
              <w:rPr>
                <w:sz w:val="19"/>
              </w:rPr>
              <w:t>Title:</w:t>
              <w:tab/>
            </w:r>
          </w:p>
        </w:tc>
      </w:tr>
      <w:tr>
        <w:trPr/>
        <w:tc>
          <w:tcPr>
            <w:tcW w:w="4680" w:type="dxa"/>
            <w:tcBorders/>
          </w:tcPr>
          <w:p>
            <w:pPr>
              <w:pStyle w:val="Normal"/>
              <w:snapToGrid w:val="false"/>
              <w:spacing w:lineRule="exact" w:line="120"/>
              <w:rPr/>
            </w:pPr>
            <w:r>
              <w:rPr/>
            </w:r>
          </w:p>
          <w:p>
            <w:pPr>
              <w:pStyle w:val="Normal"/>
              <w:widowControl/>
              <w:rPr/>
            </w:pPr>
            <w:r>
              <w:rPr/>
            </w:r>
          </w:p>
          <w:p>
            <w:pPr>
              <w:pStyle w:val="Normal"/>
              <w:widowControl/>
              <w:tabs>
                <w:tab w:val="clear" w:pos="720"/>
                <w:tab w:val="left" w:pos="-1440" w:leader="none"/>
              </w:tabs>
              <w:ind w:hanging="720" w:start="720" w:end="0"/>
              <w:rPr/>
            </w:pPr>
            <w:r>
              <w:rPr/>
              <w:t>By:</w:t>
              <w:tab/>
              <w:t>______________________________</w:t>
            </w:r>
          </w:p>
          <w:p>
            <w:pPr>
              <w:pStyle w:val="Normal"/>
              <w:widowControl/>
              <w:tabs>
                <w:tab w:val="clear" w:pos="720"/>
                <w:tab w:val="left" w:pos="-1440" w:leader="none"/>
              </w:tabs>
              <w:ind w:hanging="720" w:start="1440" w:end="0"/>
              <w:rPr/>
            </w:pPr>
            <w:r>
              <w:rPr>
                <w:sz w:val="19"/>
              </w:rPr>
              <w:t>Name:</w:t>
            </w:r>
            <w:r>
              <w:rPr/>
              <w:tab/>
            </w:r>
            <w:r>
              <w:rPr>
                <w:sz w:val="19"/>
              </w:rPr>
              <w:t>François Bourassa</w:t>
            </w:r>
          </w:p>
          <w:p>
            <w:pPr>
              <w:pStyle w:val="Normal"/>
              <w:widowControl/>
              <w:tabs>
                <w:tab w:val="clear" w:pos="720"/>
                <w:tab w:val="left" w:pos="-1440" w:leader="none"/>
              </w:tabs>
              <w:ind w:hanging="720" w:start="1440" w:end="0"/>
              <w:rPr/>
            </w:pPr>
            <w:r>
              <w:rPr>
                <w:sz w:val="19"/>
              </w:rPr>
              <w:t>Title:</w:t>
            </w:r>
            <w:r>
              <w:rPr/>
              <w:tab/>
            </w:r>
            <w:r>
              <w:rPr>
                <w:sz w:val="19"/>
              </w:rPr>
              <w:t>Chief Legal Advisor,</w:t>
            </w:r>
          </w:p>
          <w:p>
            <w:pPr>
              <w:pStyle w:val="Normal"/>
              <w:widowControl/>
              <w:spacing w:before="0" w:after="58"/>
              <w:ind w:start="1440" w:end="0"/>
              <w:rPr>
                <w:sz w:val="19"/>
              </w:rPr>
            </w:pPr>
            <w:r>
              <w:rPr>
                <w:sz w:val="19"/>
              </w:rPr>
              <w:t>International &amp; Capital Markets</w:t>
            </w:r>
          </w:p>
        </w:tc>
        <w:tc>
          <w:tcPr>
            <w:tcW w:w="4680" w:type="dxa"/>
            <w:tcBorders/>
          </w:tcPr>
          <w:p>
            <w:pPr>
              <w:pStyle w:val="Normal"/>
              <w:snapToGrid w:val="false"/>
              <w:spacing w:lineRule="exact" w:line="120"/>
              <w:rPr/>
            </w:pPr>
            <w:r>
              <w:rPr/>
            </w:r>
          </w:p>
          <w:p>
            <w:pPr>
              <w:pStyle w:val="Normal"/>
              <w:widowControl/>
              <w:spacing w:before="0" w:after="58"/>
              <w:rPr/>
            </w:pPr>
            <w:r>
              <w:rPr/>
            </w:r>
          </w:p>
        </w:tc>
      </w:tr>
    </w:tbl>
    <w:p>
      <w:pPr>
        <w:sectPr>
          <w:type w:val="continuous"/>
          <w:pgSz w:w="12240" w:h="15840"/>
          <w:pgMar w:left="1440" w:right="1440" w:gutter="0" w:header="0" w:top="1224" w:footer="1224" w:bottom="1280"/>
          <w:formProt w:val="false"/>
          <w:textDirection w:val="lrTb"/>
          <w:docGrid w:type="default" w:linePitch="360" w:charSpace="0"/>
        </w:sectPr>
      </w:pPr>
    </w:p>
    <w:p>
      <w:pPr>
        <w:pStyle w:val="Normal"/>
        <w:widowControl/>
        <w:tabs>
          <w:tab w:val="clear" w:pos="720"/>
          <w:tab w:val="center" w:pos="4680" w:leader="none"/>
        </w:tabs>
        <w:jc w:val="both"/>
        <w:rPr/>
      </w:pPr>
      <w:r>
        <w:rPr/>
        <w:tab/>
        <w:t>Schedule I</w:t>
      </w:r>
    </w:p>
    <w:p>
      <w:pPr>
        <w:pStyle w:val="Normal"/>
        <w:widowControl/>
        <w:jc w:val="both"/>
        <w:rPr/>
      </w:pPr>
      <w:r>
        <w:rPr/>
      </w:r>
    </w:p>
    <w:p>
      <w:pPr>
        <w:pStyle w:val="Normal"/>
        <w:widowControl/>
        <w:jc w:val="both"/>
        <w:rPr/>
      </w:pPr>
      <w:r>
        <w:rPr/>
      </w:r>
    </w:p>
    <w:tbl>
      <w:tblPr>
        <w:tblW w:w="9360" w:type="dxa"/>
        <w:jc w:val="start"/>
        <w:tblInd w:w="120" w:type="dxa"/>
        <w:tblLayout w:type="fixed"/>
        <w:tblCellMar>
          <w:top w:w="0" w:type="dxa"/>
          <w:start w:w="120" w:type="dxa"/>
          <w:bottom w:w="0" w:type="dxa"/>
          <w:end w:w="120" w:type="dxa"/>
        </w:tblCellMar>
      </w:tblPr>
      <w:tblGrid>
        <w:gridCol w:w="3510"/>
        <w:gridCol w:w="1800"/>
        <w:gridCol w:w="1710"/>
        <w:gridCol w:w="2340"/>
      </w:tblGrid>
      <w:tr>
        <w:trPr/>
        <w:tc>
          <w:tcPr>
            <w:tcW w:w="3510" w:type="dxa"/>
            <w:tcBorders/>
          </w:tcPr>
          <w:p>
            <w:pPr>
              <w:pStyle w:val="Normal"/>
              <w:snapToGrid w:val="false"/>
              <w:spacing w:lineRule="exact" w:line="120"/>
              <w:rPr/>
            </w:pPr>
            <w:r>
              <w:rPr/>
            </w:r>
          </w:p>
          <w:p>
            <w:pPr>
              <w:pStyle w:val="Normal"/>
              <w:widowControl/>
              <w:spacing w:before="0" w:after="58"/>
              <w:rPr/>
            </w:pPr>
            <w:r>
              <w:rPr/>
            </w:r>
          </w:p>
        </w:tc>
        <w:tc>
          <w:tcPr>
            <w:tcW w:w="1800" w:type="dxa"/>
            <w:tcBorders/>
          </w:tcPr>
          <w:p>
            <w:pPr>
              <w:pStyle w:val="Normal"/>
              <w:snapToGrid w:val="false"/>
              <w:spacing w:lineRule="exact" w:line="120"/>
              <w:rPr/>
            </w:pPr>
            <w:r>
              <w:rPr/>
            </w:r>
          </w:p>
          <w:p>
            <w:pPr>
              <w:pStyle w:val="Normal"/>
              <w:widowControl/>
              <w:spacing w:before="0" w:after="58"/>
              <w:jc w:val="center"/>
              <w:rPr>
                <w:u w:val="single"/>
              </w:rPr>
            </w:pPr>
            <w:r>
              <w:rPr>
                <w:u w:val="single"/>
              </w:rPr>
              <w:t>Party A</w:t>
            </w:r>
          </w:p>
        </w:tc>
        <w:tc>
          <w:tcPr>
            <w:tcW w:w="1710" w:type="dxa"/>
            <w:tcBorders/>
          </w:tcPr>
          <w:p>
            <w:pPr>
              <w:pStyle w:val="Normal"/>
              <w:snapToGrid w:val="false"/>
              <w:spacing w:lineRule="exact" w:line="120"/>
              <w:rPr>
                <w:u w:val="single"/>
              </w:rPr>
            </w:pPr>
            <w:r>
              <w:rPr>
                <w:u w:val="single"/>
              </w:rPr>
            </w:r>
          </w:p>
          <w:p>
            <w:pPr>
              <w:pStyle w:val="Normal"/>
              <w:widowControl/>
              <w:spacing w:before="0" w:after="58"/>
              <w:jc w:val="center"/>
              <w:rPr>
                <w:u w:val="single"/>
              </w:rPr>
            </w:pPr>
            <w:r>
              <w:rPr>
                <w:u w:val="single"/>
              </w:rPr>
              <w:t>Party B</w:t>
            </w:r>
          </w:p>
        </w:tc>
        <w:tc>
          <w:tcPr>
            <w:tcW w:w="2340" w:type="dxa"/>
            <w:tcBorders/>
          </w:tcPr>
          <w:p>
            <w:pPr>
              <w:pStyle w:val="Normal"/>
              <w:snapToGrid w:val="false"/>
              <w:spacing w:lineRule="exact" w:line="120"/>
              <w:rPr>
                <w:u w:val="single"/>
              </w:rPr>
            </w:pPr>
            <w:r>
              <w:rPr>
                <w:u w:val="single"/>
              </w:rPr>
            </w:r>
          </w:p>
          <w:p>
            <w:pPr>
              <w:pStyle w:val="Normal"/>
              <w:widowControl/>
              <w:spacing w:before="0" w:after="58"/>
              <w:jc w:val="center"/>
              <w:rPr>
                <w:u w:val="single"/>
              </w:rPr>
            </w:pPr>
            <w:r>
              <w:rPr>
                <w:u w:val="single"/>
              </w:rPr>
              <w:t>Valuation Percentage</w:t>
            </w:r>
          </w:p>
        </w:tc>
      </w:tr>
      <w:tr>
        <w:trPr/>
        <w:tc>
          <w:tcPr>
            <w:tcW w:w="3510" w:type="dxa"/>
            <w:tcBorders/>
          </w:tcPr>
          <w:p>
            <w:pPr>
              <w:pStyle w:val="Normal"/>
              <w:snapToGrid w:val="false"/>
              <w:spacing w:lineRule="exact" w:line="120"/>
              <w:rPr>
                <w:u w:val="single"/>
              </w:rPr>
            </w:pPr>
            <w:r>
              <w:rPr>
                <w:u w:val="single"/>
              </w:rPr>
            </w:r>
          </w:p>
          <w:p>
            <w:pPr>
              <w:pStyle w:val="Normal"/>
              <w:widowControl/>
              <w:spacing w:before="0" w:after="58"/>
              <w:rPr/>
            </w:pPr>
            <w:r>
              <w:rPr/>
              <w:t>(A)  Negotiable debt obligations issued by the U.S. Treasury Department having an original maturity at issuance of:</w:t>
            </w:r>
          </w:p>
        </w:tc>
        <w:tc>
          <w:tcPr>
            <w:tcW w:w="1800" w:type="dxa"/>
            <w:tcBorders/>
          </w:tcPr>
          <w:p>
            <w:pPr>
              <w:pStyle w:val="Normal"/>
              <w:snapToGrid w:val="false"/>
              <w:spacing w:lineRule="exact" w:line="120"/>
              <w:rPr/>
            </w:pPr>
            <w:r>
              <w:rPr/>
            </w:r>
          </w:p>
          <w:p>
            <w:pPr>
              <w:pStyle w:val="Normal"/>
              <w:widowControl/>
              <w:spacing w:before="0" w:after="58"/>
              <w:jc w:val="center"/>
              <w:rPr/>
            </w:pPr>
            <w:r>
              <w:rPr/>
            </w:r>
          </w:p>
        </w:tc>
        <w:tc>
          <w:tcPr>
            <w:tcW w:w="1710" w:type="dxa"/>
            <w:tcBorders/>
          </w:tcPr>
          <w:p>
            <w:pPr>
              <w:pStyle w:val="Normal"/>
              <w:snapToGrid w:val="false"/>
              <w:spacing w:lineRule="exact" w:line="120"/>
              <w:rPr/>
            </w:pPr>
            <w:r>
              <w:rPr/>
            </w:r>
          </w:p>
          <w:p>
            <w:pPr>
              <w:pStyle w:val="Normal"/>
              <w:widowControl/>
              <w:spacing w:before="0" w:after="58"/>
              <w:jc w:val="center"/>
              <w:rPr/>
            </w:pPr>
            <w:r>
              <w:rPr/>
            </w:r>
          </w:p>
        </w:tc>
        <w:tc>
          <w:tcPr>
            <w:tcW w:w="2340" w:type="dxa"/>
            <w:tcBorders/>
          </w:tcPr>
          <w:p>
            <w:pPr>
              <w:pStyle w:val="Normal"/>
              <w:snapToGrid w:val="false"/>
              <w:spacing w:lineRule="exact" w:line="120"/>
              <w:rPr/>
            </w:pPr>
            <w:r>
              <w:rPr/>
            </w:r>
          </w:p>
          <w:p>
            <w:pPr>
              <w:pStyle w:val="Normal"/>
              <w:widowControl/>
              <w:spacing w:before="0" w:after="58"/>
              <w:jc w:val="center"/>
              <w:rPr/>
            </w:pPr>
            <w:r>
              <w:rPr/>
            </w:r>
          </w:p>
        </w:tc>
      </w:tr>
      <w:tr>
        <w:trPr/>
        <w:tc>
          <w:tcPr>
            <w:tcW w:w="351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ind w:hanging="420" w:start="420" w:end="0"/>
              <w:rPr/>
            </w:pPr>
            <w:r>
              <w:rPr/>
              <w:t>(i)</w:t>
              <w:tab/>
              <w:t>not more than one year;</w:t>
            </w:r>
          </w:p>
        </w:tc>
        <w:tc>
          <w:tcPr>
            <w:tcW w:w="180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t>[ X ]</w:t>
            </w:r>
          </w:p>
        </w:tc>
        <w:tc>
          <w:tcPr>
            <w:tcW w:w="171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t>[ X ]</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t>[100%]</w:t>
            </w:r>
          </w:p>
        </w:tc>
      </w:tr>
      <w:tr>
        <w:trPr/>
        <w:tc>
          <w:tcPr>
            <w:tcW w:w="351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ind w:hanging="420" w:start="420" w:end="0"/>
              <w:rPr/>
            </w:pPr>
            <w:r>
              <w:rPr/>
              <w:t>(ii)</w:t>
              <w:tab/>
              <w:t>one year or greater up to 10 years;</w:t>
            </w:r>
          </w:p>
        </w:tc>
        <w:tc>
          <w:tcPr>
            <w:tcW w:w="180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t>[ X ]</w:t>
            </w:r>
          </w:p>
        </w:tc>
        <w:tc>
          <w:tcPr>
            <w:tcW w:w="171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t>[ X ]</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t>[98%]</w:t>
            </w:r>
          </w:p>
        </w:tc>
      </w:tr>
      <w:tr>
        <w:trPr/>
        <w:tc>
          <w:tcPr>
            <w:tcW w:w="351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ind w:hanging="420" w:start="420" w:end="0"/>
              <w:rPr/>
            </w:pPr>
            <w:r>
              <w:rPr/>
              <w:t>(iii)</w:t>
              <w:tab/>
              <w:t>10 years or greater.</w:t>
            </w:r>
          </w:p>
        </w:tc>
        <w:tc>
          <w:tcPr>
            <w:tcW w:w="180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t>[ X ]</w:t>
            </w:r>
          </w:p>
        </w:tc>
        <w:tc>
          <w:tcPr>
            <w:tcW w:w="171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t>[ X ]</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t>[95%]</w:t>
            </w:r>
          </w:p>
        </w:tc>
      </w:tr>
      <w:tr>
        <w:trPr/>
        <w:tc>
          <w:tcPr>
            <w:tcW w:w="351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(B)  Securities or obligations guaranteed as to all payments by the United States Federal Government or by any agency that is backed by the full faith and credit of the United States Federal Government.</w:t>
            </w:r>
          </w:p>
        </w:tc>
        <w:tc>
          <w:tcPr>
            <w:tcW w:w="180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t>[ X ]</w:t>
            </w:r>
          </w:p>
        </w:tc>
        <w:tc>
          <w:tcPr>
            <w:tcW w:w="171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t>[ X ]</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jc w:val="center"/>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t>[95%]</w:t>
            </w:r>
          </w:p>
        </w:tc>
      </w:tr>
      <w:tr>
        <w:trPr/>
        <w:tc>
          <w:tcPr>
            <w:tcW w:w="351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(c) Cash</w:t>
            </w:r>
          </w:p>
        </w:tc>
        <w:tc>
          <w:tcPr>
            <w:tcW w:w="180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r>
          </w:p>
        </w:tc>
        <w:tc>
          <w:tcPr>
            <w:tcW w:w="171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t>[X]</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center"/>
              <w:rPr/>
            </w:pPr>
            <w:r>
              <w:rPr/>
            </w:r>
          </w:p>
        </w:tc>
      </w:tr>
    </w:tbl>
    <w:p>
      <w:pPr>
        <w:sectPr>
          <w:footerReference w:type="default" r:id="rId3"/>
          <w:type w:val="nextPage"/>
          <w:pgSz w:w="12240" w:h="15840"/>
          <w:pgMar w:left="1440" w:right="1440" w:gutter="0" w:header="0" w:top="1224" w:footer="1224" w:bottom="1280"/>
          <w:pgNumType w:fmt="decimal"/>
          <w:formProt w:val="false"/>
          <w:textDirection w:val="lrTb"/>
          <w:docGrid w:type="default" w:linePitch="360" w:charSpace="0"/>
        </w:sectPr>
      </w:pPr>
    </w:p>
    <w:p>
      <w:pPr>
        <w:pStyle w:val="Normal"/>
        <w:widowControl/>
        <w:tabs>
          <w:tab w:val="clear" w:pos="720"/>
          <w:tab w:val="center" w:pos="4680" w:leader="none"/>
        </w:tabs>
        <w:jc w:val="both"/>
        <w:rPr/>
      </w:pPr>
      <w:r>
        <w:rPr/>
        <w:tab/>
        <w:t>Schedule II</w:t>
      </w:r>
    </w:p>
    <w:p>
      <w:pPr>
        <w:pStyle w:val="Normal"/>
        <w:widowControl/>
        <w:tabs>
          <w:tab w:val="clear" w:pos="720"/>
          <w:tab w:val="left" w:pos="-1200" w:leader="none"/>
          <w:tab w:val="left" w:pos="-720" w:leader="none"/>
          <w:tab w:val="left" w:pos="0" w:leader="none"/>
          <w:tab w:val="left" w:pos="420" w:leader="none"/>
          <w:tab w:val="left" w:pos="1440" w:leader="none"/>
        </w:tabs>
        <w:jc w:val="both"/>
        <w:rPr/>
      </w:pPr>
      <w:r>
        <w:rPr/>
      </w:r>
    </w:p>
    <w:tbl>
      <w:tblPr>
        <w:tblW w:w="9360" w:type="dxa"/>
        <w:jc w:val="start"/>
        <w:tblInd w:w="120" w:type="dxa"/>
        <w:tblLayout w:type="fixed"/>
        <w:tblCellMar>
          <w:top w:w="0" w:type="dxa"/>
          <w:start w:w="120" w:type="dxa"/>
          <w:bottom w:w="0" w:type="dxa"/>
          <w:end w:w="120" w:type="dxa"/>
        </w:tblCellMar>
      </w:tblPr>
      <w:tblGrid>
        <w:gridCol w:w="2340"/>
        <w:gridCol w:w="2340"/>
        <w:gridCol w:w="2340"/>
        <w:gridCol w:w="2340"/>
      </w:tblGrid>
      <w:tr>
        <w:trPr/>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rPr/>
            </w:pPr>
            <w:r>
              <w:rPr>
                <w:u w:val="single"/>
              </w:rPr>
              <w:t>Moody</w:t>
            </w:r>
            <w:r>
              <w:rPr>
                <w:rFonts w:cs="WP TypographicSymbols;Symbol" w:ascii="WP TypographicSymbols;Symbol" w:hAnsi="WP TypographicSymbols;Symbol"/>
                <w:u w:val="single"/>
              </w:rPr>
              <w:sym w:font="WP TypographicSymbols;Symbol" w:char="f03d"/>
            </w:r>
            <w:r>
              <w:rPr>
                <w:u w:val="single"/>
              </w:rPr>
              <w:t>s</w:t>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u w:val="single"/>
              </w:rPr>
            </w:pPr>
            <w:r>
              <w:rPr>
                <w:u w:val="single"/>
              </w:rPr>
            </w:r>
          </w:p>
        </w:tc>
        <w:tc>
          <w:tcPr>
            <w:tcW w:w="2340" w:type="dxa"/>
            <w:tcBorders/>
          </w:tcPr>
          <w:p>
            <w:pPr>
              <w:pStyle w:val="Normal"/>
              <w:snapToGrid w:val="false"/>
              <w:spacing w:lineRule="exact" w:line="120"/>
              <w:rPr>
                <w:u w:val="single"/>
              </w:rPr>
            </w:pPr>
            <w:r>
              <w:rPr>
                <w:u w:val="single"/>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u w:val="single"/>
              </w:rPr>
            </w:pPr>
            <w:r>
              <w:rPr>
                <w:u w:val="single"/>
              </w:rPr>
              <w:t>S&amp;P</w:t>
            </w:r>
          </w:p>
        </w:tc>
        <w:tc>
          <w:tcPr>
            <w:tcW w:w="2340" w:type="dxa"/>
            <w:tcBorders/>
          </w:tcPr>
          <w:p>
            <w:pPr>
              <w:pStyle w:val="Normal"/>
              <w:snapToGrid w:val="false"/>
              <w:spacing w:lineRule="exact" w:line="120"/>
              <w:rPr>
                <w:u w:val="single"/>
              </w:rPr>
            </w:pPr>
            <w:r>
              <w:rPr>
                <w:u w:val="single"/>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u w:val="single"/>
              </w:rPr>
            </w:pPr>
            <w:r>
              <w:rPr>
                <w:u w:val="single"/>
              </w:rPr>
              <w:t>Fitch</w:t>
            </w:r>
          </w:p>
        </w:tc>
        <w:tc>
          <w:tcPr>
            <w:tcW w:w="2340" w:type="dxa"/>
            <w:tcBorders/>
          </w:tcPr>
          <w:p>
            <w:pPr>
              <w:pStyle w:val="Normal"/>
              <w:snapToGrid w:val="false"/>
              <w:spacing w:lineRule="exact" w:line="120"/>
              <w:rPr>
                <w:u w:val="single"/>
              </w:rPr>
            </w:pPr>
            <w:r>
              <w:rPr>
                <w:u w:val="single"/>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u w:val="single"/>
              </w:rPr>
            </w:pPr>
            <w:r>
              <w:rPr>
                <w:u w:val="single"/>
              </w:rPr>
              <w:t>Threshold Amount</w:t>
            </w:r>
          </w:p>
        </w:tc>
      </w:tr>
      <w:tr>
        <w:trPr/>
        <w:tc>
          <w:tcPr>
            <w:tcW w:w="2340" w:type="dxa"/>
            <w:tcBorders/>
          </w:tcPr>
          <w:p>
            <w:pPr>
              <w:pStyle w:val="Normal"/>
              <w:snapToGrid w:val="false"/>
              <w:spacing w:lineRule="exact" w:line="120"/>
              <w:rPr>
                <w:u w:val="single"/>
              </w:rPr>
            </w:pPr>
            <w:r>
              <w:rPr>
                <w:u w:val="single"/>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Aaa</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AAA+</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AAA</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end"/>
              <w:rPr/>
            </w:pPr>
            <w:r>
              <w:rPr/>
              <w:t>$30,000,000</w:t>
            </w:r>
          </w:p>
        </w:tc>
      </w:tr>
      <w:tr>
        <w:trPr/>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Aa1, Aa2, Aa3</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AA+, AA, AA-</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AA+, AA, AA-</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end"/>
              <w:rPr/>
            </w:pPr>
            <w:r>
              <w:rPr/>
              <w:t>20,000,000</w:t>
            </w:r>
          </w:p>
        </w:tc>
      </w:tr>
      <w:tr>
        <w:trPr/>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A1, A2, A3</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A+, A, A-</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A+, A, A-</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end"/>
              <w:rPr/>
            </w:pPr>
            <w:r>
              <w:rPr/>
              <w:t>10,000,000</w:t>
            </w:r>
          </w:p>
        </w:tc>
      </w:tr>
      <w:tr>
        <w:trPr/>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Baa1</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BBB+</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BBB+</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end"/>
              <w:rPr/>
            </w:pPr>
            <w:r>
              <w:rPr/>
              <w:t>5,000,000</w:t>
            </w:r>
          </w:p>
        </w:tc>
      </w:tr>
      <w:tr>
        <w:trPr/>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Baa2, Baa3 or below</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BBB, BBB- or below</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rPr/>
            </w:pPr>
            <w:r>
              <w:rPr/>
              <w:t>BBB, BBB- or below</w:t>
            </w:r>
          </w:p>
        </w:tc>
        <w:tc>
          <w:tcPr>
            <w:tcW w:w="2340" w:type="dxa"/>
            <w:tcBorders/>
          </w:tcPr>
          <w:p>
            <w:pPr>
              <w:pStyle w:val="Normal"/>
              <w:snapToGrid w:val="false"/>
              <w:spacing w:lineRule="exact" w:line="120"/>
              <w:rPr/>
            </w:pPr>
            <w:r>
              <w:rPr/>
            </w:r>
          </w:p>
          <w:p>
            <w:pPr>
              <w:pStyle w:val="Normal"/>
              <w:widowControl/>
              <w:tabs>
                <w:tab w:val="clear" w:pos="720"/>
                <w:tab w:val="left" w:pos="-1200" w:leader="none"/>
                <w:tab w:val="left" w:pos="-720" w:leader="none"/>
                <w:tab w:val="left" w:pos="0" w:leader="none"/>
                <w:tab w:val="left" w:pos="420" w:leader="none"/>
                <w:tab w:val="left" w:pos="1440" w:leader="none"/>
              </w:tabs>
              <w:spacing w:before="0" w:after="58"/>
              <w:jc w:val="end"/>
              <w:rPr/>
            </w:pPr>
            <w:r>
              <w:rPr/>
              <w:t>-0-</w:t>
            </w:r>
          </w:p>
        </w:tc>
      </w:tr>
    </w:tbl>
    <w:p>
      <w:pPr>
        <w:pStyle w:val="Normal"/>
        <w:widowControl/>
        <w:tabs>
          <w:tab w:val="clear" w:pos="720"/>
          <w:tab w:val="left" w:pos="-1200" w:leader="none"/>
          <w:tab w:val="left" w:pos="-720" w:leader="none"/>
          <w:tab w:val="left" w:pos="0" w:leader="none"/>
          <w:tab w:val="left" w:pos="420" w:leader="none"/>
          <w:tab w:val="left" w:pos="1440" w:leader="none"/>
        </w:tabs>
        <w:jc w:val="both"/>
        <w:rPr/>
      </w:pPr>
      <w:r>
        <w:rPr/>
      </w:r>
    </w:p>
    <w:sectPr>
      <w:footerReference w:type="default" r:id="rId4"/>
      <w:footerReference w:type="first" r:id="rId5"/>
      <w:type w:val="nextPage"/>
      <w:pgSz w:w="12240" w:h="15840"/>
      <w:pgMar w:left="1440" w:right="1440" w:gutter="0" w:header="0" w:top="1224" w:footer="1224" w:bottom="12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19</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19</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jc w:val="both"/>
      <w:outlineLvl w:val="0"/>
    </w:pPr>
    <w:rPr>
      <w:b/>
      <w:lang w:val="en-GB"/>
    </w:rPr>
  </w:style>
  <w:style w:type="character" w:styleId="WW8Num1z0">
    <w:name w:val="WW8Num1z0"/>
    <w:qFormat/>
    <w:rPr>
      <w:rFonts w:ascii="Times New Roman" w:hAnsi="Times New Roman" w:cs="Times New Roman"/>
      <w:sz w:val="24"/>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2"/>
      </w:numPr>
      <w:tabs>
        <w:tab w:val="clear" w:pos="720"/>
      </w:tabs>
      <w:outlineLvl w:val="0"/>
    </w:pPr>
    <w:rPr/>
  </w:style>
  <w:style w:type="paragraph" w:styleId="Level2">
    <w:name w:val="Level 2"/>
    <w:basedOn w:val="Normal"/>
    <w:qFormat/>
    <w:pPr>
      <w:numPr>
        <w:ilvl w:val="0"/>
        <w:numId w:val="2"/>
      </w:numPr>
      <w:tabs>
        <w:tab w:val="clear" w:pos="720"/>
      </w:tabs>
      <w:ind w:hanging="0" w:start="720" w:end="0"/>
      <w:outlineLvl w:val="1"/>
    </w:pPr>
    <w:rPr/>
  </w:style>
  <w:style w:type="paragraph" w:styleId="Level3">
    <w:name w:val="Level 3"/>
    <w:basedOn w:val="Normal"/>
    <w:qFormat/>
    <w:pPr>
      <w:numPr>
        <w:ilvl w:val="0"/>
        <w:numId w:val="2"/>
      </w:numPr>
      <w:tabs>
        <w:tab w:val="clear" w:pos="720"/>
      </w:tabs>
      <w:ind w:hanging="720" w:start="2160" w:end="0"/>
      <w:outlineLvl w:val="2"/>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2000-09-26T18:01:00Z</dcterms:created>
  <dc:creator>B01M</dc:creator>
  <dc:description/>
  <dc:language>en-CA</dc:language>
  <cp:lastModifiedBy>D11M</cp:lastModifiedBy>
  <cp:lastPrinted>2000-03-23T09:54:00Z</cp:lastPrinted>
  <dcterms:modified xsi:type="dcterms:W3CDTF">2000-09-26T18:01:00Z</dcterms:modified>
  <cp:revision>2</cp:revision>
  <dc:subject/>
  <dc:title>Paragraph 13</dc:title>
</cp:coreProperties>
</file>