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STATE OF CONNECTICUT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pPr>
      <w:r>
        <w:rPr/>
        <w:t>DEPARTMENT OF PUBLIC UTILITY CONTROL</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DPUC REVIEW OF CONNECTICUT LIGHT AND POWER COMPANY'S CONSERVATION AND LOAD MANAGEMENT PROGRAMS FOR 2001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both"/>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DPUC REVIEW OF THE UNITED ILLUMINATING COMPANY'S CONSERVATION AND LOAD MANAGEMENT PLAN FOR 2001</w:t>
            </w:r>
          </w:p>
        </w:tc>
        <w:tc>
          <w:tcPr>
            <w:tcW w:w="360"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firstLine="18" w:start="-18" w:end="0"/>
              <w:rPr/>
            </w:pPr>
            <w:r>
              <w:rPr/>
              <w:t>::</w:t>
            </w:r>
          </w:p>
        </w:tc>
        <w:tc>
          <w:tcPr>
            <w:tcW w:w="3978" w:type="dxa"/>
            <w:tcBorders/>
          </w:tcPr>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DOCKET NO.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DOCKET NO.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tc>
      </w:tr>
    </w:tbl>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REQUEST OF THE</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b/>
          <w:caps/>
        </w:rPr>
      </w:pPr>
      <w:r>
        <w:rPr>
          <w:b/>
          <w:caps/>
        </w:rPr>
        <w:t xml:space="preserve">CONNECTICUT RESOURCES RECOVERY AUTHORITY </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jc w:val="center"/>
        <w:rPr>
          <w:b/>
          <w:caps/>
        </w:rPr>
      </w:pPr>
      <w:r>
        <w:rPr>
          <w:b/>
          <w:caps/>
        </w:rPr>
        <w:t>FOR APPROVAL OF THE FUEL CELL PROJECT</w:t>
      </w:r>
    </w:p>
    <w:p>
      <w:pPr>
        <w:pStyle w:val="Footer"/>
        <w:tabs>
          <w:tab w:val="clear" w:pos="4320"/>
          <w:tab w:val="clear" w:pos="8640"/>
          <w:tab w:val="clear" w:pos="9360"/>
          <w:tab w:val="left" w:pos="720" w:leader="none"/>
          <w:tab w:val="left" w:pos="1440" w:leader="none"/>
          <w:tab w:val="left" w:pos="2160" w:leader="none"/>
          <w:tab w:val="left" w:pos="2880" w:leader="none"/>
          <w:tab w:val="left" w:pos="3240" w:leader="none"/>
          <w:tab w:val="left" w:pos="4680" w:leader="none"/>
          <w:tab w:val="left" w:pos="5040" w:leader="none"/>
        </w:tabs>
        <w:rPr>
          <w:b/>
          <w:caps/>
        </w:rPr>
      </w:pPr>
      <w:r>
        <w:rPr>
          <w:b/>
          <w:caps/>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I.</w:t>
        <w:tab/>
      </w:r>
      <w:r>
        <w:rPr>
          <w:b/>
        </w:rPr>
        <w:t>INTRODUCTION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b/>
        </w:rPr>
      </w:pPr>
      <w:r>
        <w:rPr>
          <w:b/>
        </w:rPr>
      </w:r>
    </w:p>
    <w:p>
      <w:pPr>
        <w:pStyle w:val="Normal"/>
        <w:spacing w:lineRule="auto" w:line="480"/>
        <w:rPr/>
      </w:pPr>
      <w:r>
        <w:rPr/>
        <w:tab/>
        <w:t xml:space="preserve">Fuel cells are one of the most promising technologies emerging to meet the needs of the deregulated electricity market.  Fuel cells are highly efficient, extremely reliable, and produce very low emissions. Fuel cells operate at much higher efficiencies than internal combustion engines, producing more electricity from the same amount of fuel, and thus conserving our natural resources.  Fuel cells operate without combustion or moving parts and offer a much needed, highly reliable source of supply to the electric grid.  Fuel cells are environmentally friendly and are classified as a Class I renewable energy source which is vital to the success of competition in Connecticut.  The addition of fuel cells to the power generation mix will assist electric suppliers in meeting the renewable energy portfolio standard required to compete in the State.  This will remove a significant barrier to entry and will help foster a robust, competitive market for electricity in Connecticut.  But today, the high capital cost of fuel cells hinders their acceptance in the marketplace.  In this proceeding, the Department has the opportunity to drive down these capital costs while facilitating retail electricity competition and stimulating Connecticut's economic development.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To achieve these goals, the Connecticut Resources Recovery Authority  ("CRRA") files this Request for approval pursuant to Conn. Gen. Stat. § 4-177a.  CRRA requests that the Department include in the year 2001 Conservation and Load Management Plans of the Connecticut Light and Power Company (“CL&amp;P”) and The United Illuminating Company (“UI”) CRRA’s proposed multi-year market transformation initiative.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proposal includes the development, construction and installation of several fuel cell farms by CRRA through its project developer, Enron North America Corp. ("Enron ").  CRRA will own, control and operate the fuel cells.  This multi-year market transformation initiative will provide a Class I renewable energy source which will assist electric suppliers in meeting the Connecticut renewable energy portfolio standard (Conn. Gen. Stat. § 16-245a), promote economic development within the State, provide energy in an environmentally responsible manner, diversify the State's energy supply mix, and promote the development of a truly competitive retail electricity market. </w:t>
      </w:r>
      <w:r>
        <w:rPr>
          <w:u w:val="single"/>
        </w:rPr>
        <w:t>See</w:t>
      </w:r>
      <w:r>
        <w:rPr/>
        <w:t xml:space="preserve"> Conn. Gen. Stat. § 16-244.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This Request sets forth a description of CRRA's proposal, financial information, policy benefits of the market transformation initiative, environmental and economic development benefits, as well as proposed Findings of Fact, Conclusions and Orders.  The project is summarized in this Request.  Additional detail is contained in the attached pre-filed testimony of Mr. Robert E. Wright, President of CRRA, and Mr. Jeffrey Ader and Ms. Heather Kroll of Enron.</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firstLine="720" w:end="0"/>
        <w:rPr/>
      </w:pPr>
      <w:r>
        <w:rPr/>
        <w:t>The persons to whom correspondence and other filings with respect to this Request should be directed are: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Robert E. Wright, President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100 Constitution Plaza</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Hartford, CT 06103-1702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(860) 757-7700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 xml:space="preserve">and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Thomas D. Ritter, Esq.</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Brown, Rudnick, Freed &amp; Gesmer, P.C.</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Cityplace I, 185 Asylum Street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Hartford, CT 06103-3402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pPr>
      <w:r>
        <w:rPr/>
        <w:t>(860) 509-6500</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strike/>
        </w:rPr>
      </w:pPr>
      <w:r>
        <w:rPr>
          <w:strike/>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t xml:space="preserve">II. </w:t>
        <w:tab/>
        <w:t>DESCRIPTION OF PROPOSAL</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hanging="0" w:start="0"/>
        <w:rPr/>
      </w:pPr>
      <w:r>
        <w:rPr/>
        <w:tab/>
        <w:t>A.</w:t>
        <w:tab/>
        <w:t>General overview</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hanging="0" w:start="0"/>
        <w:rPr/>
      </w:pPr>
      <w:r>
        <w:rPr/>
        <w:tab/>
        <w:t>CRRA will enter into a contract with Enron to cause the development, construction and installation of several fuel cell farms and related facilities with a combined nominal generating capacity of 26 megawatts (“MW”) on sites owned and controlled, or to be controlled by CRRA.  CRRA will own, control and have responsibility for the operation of the fuel cell farms and related facilities.  The facilities will utilize fuel cell electrical generation equipment manufactured and licensed by FuelCell Energy, Inc. of Danbury, Connecticut.  FuelCell Energy, Inc. has provided electrochemical research solutions to various private sector and governmental customers for nearly 30 years.  FuelCell Energy, Inc. has developed a multi-fuel capable fuel cell that utilizes natural gas, methanol, ethanol, bio-gas and any other fuel containing methane.  All fuel cell modules will be manufactured exclusively in Connecticut.  Construction of all fuel cells and related facilities is anticipated to be complete by December 31, 2004.  This schedule will assist the State in meeting its renewable energy portfolio.  The portfolio standard requires that electric suppliers' aggregate portfolios include approximately 116 MW of Class I renewable energy sources by July 1, 2004 (equal to 2.0% of Connecticut’s total load). (</w:t>
      </w:r>
      <w:r>
        <w:rPr>
          <w:u w:val="single"/>
        </w:rPr>
        <w:t>See</w:t>
      </w:r>
      <w:r>
        <w:rPr/>
        <w:t xml:space="preserve"> Exhibit A.)  Conn. Gen. Stat. § 16-245a. </w:t>
      </w:r>
    </w:p>
    <w:p>
      <w:pPr>
        <w:pStyle w:val="Normal"/>
        <w:rPr/>
      </w:pPr>
      <w:r>
        <w:rPr/>
      </w:r>
    </w:p>
    <w:p>
      <w:pPr>
        <w:pStyle w:val="Normal"/>
        <w:spacing w:lineRule="auto" w:line="480"/>
        <w:rPr/>
      </w:pPr>
      <w:r>
        <w:rPr/>
        <w:tab/>
        <w:t xml:space="preserve">A total of 12 fuel cell units capable of generating 26 MW will be installed at one or more CRRA sites. </w:t>
        <w:tab/>
        <w:t>CRRA will schedule the output from the facilities into the NEPOOL power grid and make the power available to market participants.  The Class I renewable credit will be made available to retail electric suppliers marketing to serve Connecticut load at market based prices.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Enron will mitigate the technology and performance risk of the investment through the requirement of an acceptance test.  If any individual fuel cell power plant fails to meet the minimum performance standards required by this acceptance test, Enron will refund to the Energy Conservation and Load Management Fund the individual plant’s cost.</w:t>
      </w:r>
    </w:p>
    <w:p>
      <w:pPr>
        <w:pStyle w:val="Heading2"/>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hanging="0" w:start="0"/>
        <w:rPr/>
      </w:pPr>
      <w:r>
        <w:rPr/>
        <w:tab/>
        <w:t>B.</w:t>
        <w:tab/>
        <w:t xml:space="preserve">Financial information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BodyText"/>
        <w:tabs>
          <w:tab w:val="left" w:pos="720" w:leader="none"/>
        </w:tabs>
        <w:spacing w:lineRule="auto" w:line="480"/>
        <w:rPr/>
      </w:pPr>
      <w:r>
        <w:rPr>
          <w:rFonts w:cs="CG Times;Times New Roman" w:ascii="CG Times;Times New Roman" w:hAnsi="CG Times;Times New Roman"/>
          <w:b/>
          <w:sz w:val="24"/>
        </w:rPr>
        <w:tab/>
      </w:r>
      <w:r>
        <w:rPr>
          <w:rFonts w:cs="CG Times;Times New Roman" w:ascii="CG Times;Times New Roman" w:hAnsi="CG Times;Times New Roman"/>
          <w:sz w:val="24"/>
        </w:rPr>
        <w:t>1.</w:t>
        <w:tab/>
        <w:t xml:space="preserve">Cost per fuel cell </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Current installed costs of fuel cells range between  $5,000 and $6,000 per kilowatt.  While fuel cell technology is proven and reliable, manufacturers have not been able to achieve economic commercialization due to the high capital expenditures required to build up their manufacturing processes without sufficient unit purchase orders to support those expenditures.</w:t>
      </w:r>
    </w:p>
    <w:p>
      <w:pPr>
        <w:pStyle w:val="BodyText"/>
        <w:tabs>
          <w:tab w:val="left" w:pos="720" w:leader="none"/>
        </w:tabs>
        <w:spacing w:lineRule="auto" w:line="480"/>
        <w:rPr/>
      </w:pPr>
      <w:r>
        <w:rPr>
          <w:rFonts w:cs="CG Times;Times New Roman" w:ascii="CG Times;Times New Roman" w:hAnsi="CG Times;Times New Roman"/>
          <w:sz w:val="24"/>
        </w:rPr>
        <w:tab/>
        <w:t xml:space="preserve">This 26 MW order sufficiently supports the manufacturing investment required to automate and develop economies of scale associated with volume manufacturing and to begin the commercialization of fuel cells as a viable and economical power supply. The average installed cost for all 12 units in this 26 MW installation is approximately $4,150 per kilowatt.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Exhibit B filed under Protective Order. </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2. Funding of total cost of market transformation initiative</w:t>
      </w:r>
    </w:p>
    <w:p>
      <w:pPr>
        <w:pStyle w:val="BodyText"/>
        <w:tabs>
          <w:tab w:val="left" w:pos="720" w:leader="none"/>
        </w:tabs>
        <w:spacing w:lineRule="auto" w:line="480"/>
        <w:rPr/>
      </w:pPr>
      <w:r>
        <w:rPr>
          <w:rFonts w:cs="CG Times;Times New Roman" w:ascii="CG Times;Times New Roman" w:hAnsi="CG Times;Times New Roman"/>
          <w:sz w:val="24"/>
        </w:rPr>
        <w:tab/>
        <w:t xml:space="preserve">The expected total installed cost of the market transformation initiative is approximately $124,000,000.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Exhibit C.  This cost includes a development fee of 10</w:t>
      </w:r>
      <w:r>
        <w:rPr>
          <w:rFonts w:cs="CG Times;Times New Roman" w:ascii="CG Times;Times New Roman" w:hAnsi="CG Times;Times New Roman"/>
          <w:b/>
          <w:sz w:val="24"/>
        </w:rPr>
        <w:t>%</w:t>
      </w:r>
      <w:r>
        <w:rPr>
          <w:rFonts w:cs="CG Times;Times New Roman" w:ascii="CG Times;Times New Roman" w:hAnsi="CG Times;Times New Roman"/>
          <w:sz w:val="24"/>
        </w:rPr>
        <w:t xml:space="preserve"> of the cost of the fuel cells for Enron.  Funding for the market transformation initiative will come from the Energy Conservation and Load Management Fund established pursuant to Conn. Gen. Stat. § 16-245m(b). CRRA requests that the Department order CL&amp;P and UI to commit and disburse to CRRA in semi-annual installments a portion of the Energy Conservation and Load Management Fund proceeds in the amount of $23,000,000 each year for a period of four consecutive years.  CRRA is also requesting funding from the Renewable Energy Investment Fund pursuant to Conn. Gen. Stat. § 16-245n in the amount of $8,000,000 per year for a period of four consecutive years.  The total funding of $124,000,000 is necessary to both install the fuel cell units and to fund the first stack replacement.  The project will not go forward unless both portions of the funding are secured.</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The payment schedule has a minimal impact on the plans of CL&amp;P and UI to utilize the balance of the Energy Conservation and Load Management Fund proceeds for additional conservation and load management programs.  If CRRA’s request is granted, of the $1 billion projected to be collected from the Energy Conservation and Load Management Fund over the next ten years, approximately 91% of these funds will remain available for other conservation and load management programs, including CL&amp;P and UI conservation and load management plans.  CRRA respectfully submits that, of all the projects included in the 2001 C&amp;LM Plan Dockets, CRRA’s proposed fuel cell project will make the most significant difference to our energy future.</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r>
    </w:p>
    <w:p>
      <w:pPr>
        <w:pStyle w:val="BodyText"/>
        <w:tabs>
          <w:tab w:val="left" w:pos="720" w:leader="none"/>
        </w:tabs>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t>III.</w:t>
        <w:tab/>
        <w:t>STATUTORY BACKGROUND</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In 1998, when the Legislature restructured the electric industry pursuant to Conn. Pub. Acts 98-28 (the “Electric Restructuring Act”), it required that the portfolio of each licensed electric supplier in the State of Connecticut include an increasing percentage of renewable energy sources.  </w:t>
      </w:r>
      <w:r>
        <w:rPr>
          <w:u w:val="single"/>
        </w:rPr>
        <w:t>See</w:t>
      </w:r>
      <w:r>
        <w:rPr/>
        <w:t xml:space="preserve"> Conn. Gen. Stat. § 16-245a.  The statute requires an escalating percentage of "Class I" renewable energy sources.  The only sources of Class I power are solar, wind, landfill methane, certain sustainable bio-mass, and fuel cells.  Conn. Gen. Stat. § 16-1(a)(26).  The present Class I requirement (until July 1, 2001) applied to CL&amp;P's and UI's customer load is approximately 30MW.  By July 1, 2004 the requirement increases to 116 MW.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An electric supplier may satisfy this portfolio requirement by obtaining Class I renewables from the competitive marketplace.  </w:t>
      </w:r>
      <w:r>
        <w:rPr>
          <w:u w:val="single"/>
        </w:rPr>
        <w:t>See</w:t>
      </w:r>
      <w:r>
        <w:rPr/>
        <w:t xml:space="preserve"> Conn. Gen. Stat. § 16-245a(a).  Currently there is insufficient Class I renewable power available in the State of Connecticut to meet the demands of the portfolio requirement. In response to insufficient Class I renewable supply, the legislature authorized the Department to extend the deadline for compliance, but only for a period no later than two years after the date required in Conn. Gen. Stat. § 16-245a.  </w:t>
      </w:r>
      <w:r>
        <w:rPr>
          <w:u w:val="single"/>
        </w:rPr>
        <w:t>See</w:t>
      </w:r>
      <w:r>
        <w:rPr/>
        <w:t xml:space="preserve"> Conn. Pub. Acts 99-225, § 19.  This provides an extremely small window of opportunity for Class I sources to be developed and made available to the marketplace so that the State of Connecticut can meet these important environmental commitments.  The Electric Restructuring Act sought to promote the efficient use of energy, to reduce air pollution and other negative environmental effects of power generation, to improve public health, and to promote economic development in Connecticut.  </w:t>
      </w:r>
      <w:r>
        <w:rPr>
          <w:u w:val="single"/>
        </w:rPr>
        <w:t>See</w:t>
      </w:r>
      <w:r>
        <w:rPr/>
        <w:t xml:space="preserve"> Conn. Gen. Stat. 16-244. Additionally, the Electric Restructuring Act promoted the development of in-state electric generating facilities "to ensure an adequate and reliable power supply within the state and ensure development of a truly competitive generation market."  Conn. Gen. Stat. § 16-244(7). The legislature further declared the importance of implementing conservation measures and using renewable energy resources.  </w:t>
      </w:r>
      <w:r>
        <w:rPr>
          <w:u w:val="single"/>
        </w:rPr>
        <w:t>See</w:t>
      </w:r>
      <w:r>
        <w:rPr/>
        <w:t xml:space="preserve"> Conn. Gen. Stat. § 16-244(6).  To implement these policies, the legislature established the renewable portfolio standard and created a specific funding mechanism for "Conservation and Load Management Programs" and "Market Transformation Initiatives."  </w:t>
      </w:r>
      <w:r>
        <w:rPr>
          <w:u w:val="single"/>
        </w:rPr>
        <w:t>See</w:t>
      </w:r>
      <w:r>
        <w:rPr/>
        <w:t xml:space="preserve"> Conn. Gen. Stat. § 16-245m.</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On and after January 1, 2000, the Department must include a charge of three mills per kWh of electricity sold to each end use customer of an electric distribution company.  These monies are collected in an Energy Conservation and Load Management Fund.  Distributions from the Energy Conservation and Load Management Fund are made in accordance with a "comprehensive plan, which plan shall be approved by the Department …, to implement cost-effective energy conservation programs and market transformation initiatives."  Conn. Gen. Stat. § 16-245m(d).  </w:t>
      </w:r>
      <w:r>
        <w:rPr>
          <w:u w:val="single"/>
        </w:rPr>
        <w:t>See</w:t>
      </w:r>
      <w:r>
        <w:rPr/>
        <w:t xml:space="preserve"> also Conn. Gen. Stat. §16-245m(b).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  The Electric Restructuring Act is the latest chapter in Connecticut's evolving energy policy.</w:t>
      </w:r>
      <w:r>
        <w:rPr>
          <w:rStyle w:val="FootnoteCharacters"/>
          <w:rStyle w:val="FootnoteReference"/>
        </w:rPr>
        <w:footnoteReference w:id="2"/>
      </w:r>
      <w:r>
        <w:rPr/>
        <w:t xml:space="preserve">  In the late 1970's, as a response to the lack of primary energy resources in the state, and the state's dependence on petroleum as an energy source, the State of Connecticut articulated its energy policy. </w:t>
      </w:r>
      <w:r>
        <w:rPr>
          <w:u w:val="single"/>
        </w:rPr>
        <w:t>See</w:t>
      </w:r>
      <w:r>
        <w:rPr/>
        <w:t xml:space="preserve"> Conn. Gen. Stat. § 16a-35k.  The State is committed to an energy policy that promotes the conservation of energy resources as well as the development and use of renewable energy sources.</w:t>
      </w:r>
      <w:r>
        <w:rPr>
          <w:rStyle w:val="FootnoteCharacters"/>
          <w:rStyle w:val="FootnoteReference"/>
        </w:rPr>
        <w:footnoteReference w:id="3"/>
      </w:r>
      <w:r>
        <w:rPr/>
        <w:t xml:space="preserve">   The energy policy itself is divided into nine enumerated goals,</w:t>
      </w:r>
      <w:r>
        <w:rPr>
          <w:rStyle w:val="FootnoteCharacters"/>
          <w:rStyle w:val="FootnoteReference"/>
        </w:rPr>
        <w:footnoteReference w:id="4"/>
      </w:r>
      <w:r>
        <w:rPr/>
        <w:t xml:space="preserve"> including development of renewable energy resources</w:t>
      </w:r>
      <w:r>
        <w:rPr>
          <w:b/>
        </w:rPr>
        <w:t>,</w:t>
      </w:r>
      <w:r>
        <w:rPr/>
        <w:t xml:space="preserve"> the diversification of the state's energy supply mix, and preference for conservation and load management capacity initiatives.</w:t>
      </w:r>
      <w:r>
        <w:rPr>
          <w:rStyle w:val="FootnoteCharacters"/>
          <w:rStyle w:val="FootnoteReference"/>
        </w:rPr>
        <w:footnoteReference w:id="5"/>
      </w:r>
      <w:r>
        <w:rPr/>
        <w:t xml:space="preserve"> The use of fuel cell technology achieves these goals.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The state is required to " . . . seek all possible ways to implement this [energy] policy," and to "use all possible means . . . to improve and coordinate the plans, functions, programs and resources of the state to attain the objectives [of the energy policy]."  Conn. Gen. Stat. §16a-35k.  Further, the Department is required by statute annually to consult with the Commissioner of Environmental Protection, the Connecticut Siting Council and the Office of Policy and Management in order to coordinate actions consistent with the state's energy policy.</w:t>
      </w:r>
      <w:r>
        <w:rPr>
          <w:rStyle w:val="FootnoteCharacters"/>
          <w:rStyle w:val="FootnoteReference"/>
        </w:rPr>
        <w:footnoteReference w:id="6"/>
      </w:r>
      <w:r>
        <w:rPr/>
        <w:t xml:space="preserve">  In doing so, the Department must, "tak[e] into account prudent management of the natural environment and continued promotion of economic development within the state."  Conn. Gen. Stat. § 16-19e(c).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CRRA's fuel cell proposal reflects each of these important legislative goals.  It will put the energy policies of the legislature into action. Consistent with the State's energy policy, this proposal will increase energy supply in a manner that has low environmental impact, while directly promoting the economic development of Connecticut businesses.  The fuel cell project is highly efficient and will conserve our natural resources.   At the same time, the fuel cell project will diversify the State's energy supply mix by creating a reliable, renewable energy resource.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t>IV.</w:t>
        <w:tab/>
        <w:t>COMPLIANCE WITH STATUTORY REQUIREMENTS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A.</w:t>
        <w:tab/>
        <w:t>Policy Benefits of Market Transformation Initiative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CRRA's proposal meets the goals of both the Electric Restructuring Act and the State of Connecticut's energy policy.  With regard to the Electric Restructuring Act's goals, CRRA proposes to construct in-state electric generating facilities which will help ensure an adequate and reliable Class I renewable energy source and the development of a competitive retail electricity market within the State. The lack of sufficient Class I renewable energy sources poses a significant barrier to entry to potential market participants.  Fuel cell technology is the only viable Class I renewable energy source that has the ability to generate enough electricity to meet the renewable statutory mandates.  CRRA’s fuel cell project will add Class I supply to the State’s energy mix to help electric suppliers meet the statutory mandates in the near term.  This will help foster a competitive market for electricity.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This initiative will provide an investment in fuel cell manufacturing technology that will help drive down the high capital cost of fuel cells which currently hinders their acceptance in the marketplace.  In response to lower costs, the market demand for fuel cells should increase.  This should lead to further private investments in fuel cells that will continue to add renewable resources to the State’s energy mix over the long-term.  The fuel cell project will conserve natural resources, develop renewable energy in the State and help foster a competitive market for electricity in Connecticut.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ind w:start="720" w:end="0"/>
        <w:rPr/>
      </w:pPr>
      <w:r>
        <w:rPr/>
        <w:t>B.</w:t>
        <w:tab/>
        <w:t>Conservation and Efficiency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rFonts w:eastAsia="CG Times;Times New Roman"/>
        </w:rPr>
        <w:t xml:space="preserve"> </w:t>
      </w:r>
      <w:r>
        <w:rPr/>
        <w:tab/>
        <w:t xml:space="preserve">Fuel cells are extremely efficient when compared to traditional fossil fuel burning power plants.  FuelCell Energy, Inc. expects its fuel cell modules to have a fuel conversion efficiency of approximately 50%. In comparison, other distributed generation technologies such as diesel generators and microturbines have efficiency rates of approximately 30%.  And while state of the art combined-cycle combustion turbine technology does approach the fuel cell efficiency rate, the combined cycle efficiency rate can only be maintained if the turbines are continually operated at full capacity.  Combined-cycle plants operating at less than full capacity are significantly less efficient.  Fuel cells, in comparison, retain their high efficiency rating even when operating at partial capacity.  </w:t>
      </w:r>
      <w:r>
        <w:rPr>
          <w:u w:val="single"/>
        </w:rPr>
        <w:t>See</w:t>
      </w:r>
      <w:r>
        <w:rPr/>
        <w:t xml:space="preserve"> Exhibit D.</w:t>
      </w:r>
    </w:p>
    <w:p>
      <w:pPr>
        <w:pStyle w:val="BodyText"/>
        <w:tabs>
          <w:tab w:val="left" w:pos="720" w:leader="none"/>
        </w:tabs>
        <w:spacing w:lineRule="auto" w:line="480"/>
        <w:rPr/>
      </w:pPr>
      <w:r>
        <w:rPr/>
        <w:tab/>
      </w:r>
      <w:r>
        <w:rPr>
          <w:rFonts w:cs="CG Times;Times New Roman" w:ascii="CG Times;Times New Roman" w:hAnsi="CG Times;Times New Roman"/>
          <w:sz w:val="24"/>
        </w:rPr>
        <w:t>While it is extremely important to conserve energy by using less electricity, as in the Conservation and Load Management Plans of CL&amp;P and UI, it is also important to conserve energy resources by using less fuel to make electricity.  The combined opportunities of using less fuel to make electricity provided by CRRA's proposal, and conserving electricity through energy-efficient applications, maximize energy conservation and provide a cleaner environment.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w:t>
        <w:tab/>
        <w:t>Environmental Benefits</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Fuel cells were chosen over the other Class I renewable energy sources for several reasons.  While all Class I renewable energy sources provide environmentally benign power, it is impractical to reach the State's portfolio standards utilizing Class I sources other than fuel cells.  Solar and wind technologies are not geographically well suited for Connecticut.  Connecticut does not experience the intense sun and wind needed to make these technologies commercially practicable.  Opportunities for power generated from landfill gas and bio-mass sources are limited by the waste disposal and forestry requirements in the State.  Further, bio-mass facilities have faced significant siting problems in the State.</w:t>
      </w:r>
    </w:p>
    <w:p>
      <w:pPr>
        <w:pStyle w:val="BodyText"/>
        <w:tabs>
          <w:tab w:val="left" w:pos="720" w:leader="none"/>
        </w:tabs>
        <w:spacing w:lineRule="auto" w:line="480"/>
        <w:rPr/>
      </w:pPr>
      <w:r>
        <w:rPr>
          <w:rFonts w:cs="CG Times;Times New Roman" w:ascii="CG Times;Times New Roman" w:hAnsi="CG Times;Times New Roman"/>
          <w:sz w:val="24"/>
        </w:rPr>
        <w:tab/>
        <w:t xml:space="preserve">Recent legislation encourages the siting of fuel cells.  In contrast to other renewable energy sources, a fuel cell project may utilize the Connecticut Siting Council’s (the “Council”) declaratory ruling procedures in lieu of obtaining a certificate of environmental compatibility and public need. Conn. Gen. Stat. § 16-50k(a).  There is a presumption the Council will approve such a petition, and the Council’s sole inquiry is whether there is a “substantial adverse environmental effect.” </w:t>
      </w:r>
      <w:r>
        <w:rPr>
          <w:rFonts w:cs="CG Times;Times New Roman" w:ascii="CG Times;Times New Roman" w:hAnsi="CG Times;Times New Roman"/>
          <w:sz w:val="24"/>
          <w:u w:val="single"/>
        </w:rPr>
        <w:t>Compare</w:t>
      </w:r>
      <w:r>
        <w:rPr>
          <w:rFonts w:cs="CG Times;Times New Roman" w:ascii="CG Times;Times New Roman" w:hAnsi="CG Times;Times New Roman"/>
          <w:sz w:val="24"/>
        </w:rPr>
        <w:t xml:space="preserve"> Conn. Gen. Stat. § 16-50k(a) (“the council shall…approve by declaratory ruling…the construction or location of any fuel cell, unless the council finds a substantial adverse environmental effect”) </w:t>
      </w:r>
      <w:r>
        <w:rPr>
          <w:rFonts w:cs="CG Times;Times New Roman" w:ascii="CG Times;Times New Roman" w:hAnsi="CG Times;Times New Roman"/>
          <w:sz w:val="24"/>
          <w:u w:val="single"/>
        </w:rPr>
        <w:t>with</w:t>
      </w:r>
      <w:r>
        <w:rPr>
          <w:rFonts w:cs="CG Times;Times New Roman" w:ascii="CG Times;Times New Roman" w:hAnsi="CG Times;Times New Roman"/>
          <w:sz w:val="24"/>
        </w:rPr>
        <w:t xml:space="preserve"> Conn. Gen. Stat. § 16-50p(c)(1) (“the council shall not grant a certificate…unless it finds…a public benefit…, the nature of the probable environmental impact…[and] why the adverse effects…are not a sufficient reason to deny the application”).  Fuel cells are the clear choice to develop Class I renewable power sources in the State of Connecticut. </w:t>
      </w:r>
    </w:p>
    <w:p>
      <w:pPr>
        <w:pStyle w:val="BodyText"/>
        <w:tabs>
          <w:tab w:val="left" w:pos="720" w:leader="none"/>
        </w:tabs>
        <w:spacing w:lineRule="auto" w:line="480"/>
        <w:rPr/>
      </w:pPr>
      <w:r>
        <w:rPr>
          <w:rFonts w:cs="CG Times;Times New Roman" w:ascii="CG Times;Times New Roman" w:hAnsi="CG Times;Times New Roman"/>
          <w:sz w:val="24"/>
        </w:rPr>
        <w:tab/>
        <w:t>Further, fuel cells have extremely low emissions.  A fuel cell is much cleaner when compared to even the cleanest fossil fuel generation technology.  For example, a combined cycle plant attaining the “Lowest Achievable Emission Rate” will emit 2.0 parts per million (“ppm”) of NO</w:t>
      </w:r>
      <w:r>
        <w:rPr>
          <w:rFonts w:cs="CG Times;Times New Roman" w:ascii="CG Times;Times New Roman" w:hAnsi="CG Times;Times New Roman"/>
          <w:sz w:val="24"/>
          <w:vertAlign w:val="subscript"/>
        </w:rPr>
        <w:t xml:space="preserve">x.  </w:t>
      </w:r>
      <w:r>
        <w:rPr>
          <w:rFonts w:cs="CG Times;Times New Roman" w:ascii="CG Times;Times New Roman" w:hAnsi="CG Times;Times New Roman"/>
          <w:sz w:val="24"/>
        </w:rPr>
        <w:t>In comparison, a fuel cell will emit less than 0.1 ppm of NO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A similar comparison exists for SO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xml:space="preserve"> and CO.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Exhibit 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 are additional environmental impacts associated with the construction of a traditional generating facility which do not exist with fuel cell technology.  A traditional power plant may require the construction of new transmission lines and natural gas pipeline expansions.  Because of these construction constraints, there is sometimes public resistance to siting traditional power plants within local communities.   In comparison, a small fuel cell installation is unobtrusive.  Usually, the installation requires no towering exhaust stack, is extremely quiet, has very low emissions, and only requires space the size of a tennis court.  </w:t>
      </w:r>
      <w:r>
        <w:rPr>
          <w:u w:val="single"/>
        </w:rPr>
        <w:t>See</w:t>
      </w:r>
      <w:r>
        <w:rPr/>
        <w:t xml:space="preserve"> Exhibit  F (photo).  In contrast to the traditional generating facility, the fuel cell can use existing low pressure distribution gas lines for fuel supply, and can be connected directly to the local distribution grid, thereby reducing the need for construction of additional transmission lines.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Fonts w:eastAsia="CG Times;Times New Roman"/>
        </w:rPr>
        <w:t xml:space="preserve"> </w:t>
      </w:r>
      <w:r>
        <w:rPr/>
        <w:tab/>
        <w:t>D.</w:t>
        <w:tab/>
        <w:t>Economic Development Benefits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Connecticut will immediately begin noticing the effects of this market transformation initiative.  The required manufacturing investment will necessitate many new manufacturing jobs.  To operate a manufacturing facility that produces 26 MW per year of fuel cells, FuelCell Energy, Inc. projects the need for an additional workforce of over 200 people.  Additional workforce increases are to be expected with expanding market demand for fuel cells.  With the addition of manufacturing jobs comes the addition of marketing, accounting, research and consulting jobs related to fuel cell technologies.  The creation of new enterprises and jobs will increase the State's tax base.</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Moreover, the initiative will result in an investment in fuel cell manufacturing technology that should lead to the development of higher quality products and economies of scale that in turn will translate into more cost effective products for the market.  In response to lower costs, the market demand for fuel cells should increase, and Connecticut fuel cell manufacturers should prepare to respond to the increased demand.  As Connecticut currently is home to several emerging fuel cell companies, the State is well positioned to become a leader in fuel cell manufacturing.</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E.</w:t>
        <w:tab/>
        <w:t xml:space="preserve">Cost Effectiveness of the Market Transformation Initiative  </w:t>
      </w:r>
    </w:p>
    <w:p>
      <w:pPr>
        <w:pStyle w:val="BodyTextIndent"/>
        <w:tabs>
          <w:tab w:val="left" w:pos="720" w:leader="none"/>
        </w:tabs>
        <w:rPr/>
      </w:pPr>
      <w:r>
        <w:rPr>
          <w:rFonts w:cs="CG Times;Times New Roman" w:ascii="CG Times;Times New Roman" w:hAnsi="CG Times;Times New Roman"/>
        </w:rPr>
        <w:t xml:space="preserve">As a market transformation initiative, the fuel cell construction, installation and operation is not required to undergo an annual cost effectiveness review.  </w:t>
      </w:r>
      <w:r>
        <w:rPr>
          <w:rFonts w:cs="CG Times;Times New Roman" w:ascii="CG Times;Times New Roman" w:hAnsi="CG Times;Times New Roman"/>
          <w:u w:val="single"/>
        </w:rPr>
        <w:t>See</w:t>
      </w:r>
      <w:r>
        <w:rPr>
          <w:rFonts w:cs="CG Times;Times New Roman" w:ascii="CG Times;Times New Roman" w:hAnsi="CG Times;Times New Roman"/>
        </w:rPr>
        <w:t xml:space="preserve"> Conn. Gen. Stat. § 16-245m.  CRRA proposes to fund the capital costs and the first stack replacement from the 2001 C&amp;LM Plans.  This investment will allow the fuel cell farms to operate on a cost effective basis.   </w:t>
      </w:r>
    </w:p>
    <w:p>
      <w:pPr>
        <w:pStyle w:val="BodyTextIndent"/>
        <w:tabs>
          <w:tab w:val="left" w:pos="720" w:leader="none"/>
        </w:tabs>
        <w:rPr/>
      </w:pPr>
      <w:r>
        <w:rPr>
          <w:rFonts w:cs="CG Times;Times New Roman" w:ascii="CG Times;Times New Roman" w:hAnsi="CG Times;Times New Roman"/>
        </w:rPr>
        <w:t>The output of these fuel cell farms includes electric energy, ancillary services and a valuable premium for being Class I renewable power.  Energy and ancillary services will be dispatched by ISO - New England.  CRRA will produce and submit to ISO - New England a dispatch schedule and bidding strategy that maximizes the value of the plants in the market.  Revenues from the sale of the plant’s electrical output are expected to offset the cost of fuel and operations</w:t>
      </w:r>
      <w:r>
        <w:rPr/>
        <w:t xml:space="preserve"> and to fund a reserve for major maintenance, including catalyst stack replacement</w:t>
      </w:r>
      <w:r>
        <w:rPr>
          <w:rFonts w:cs="CG Times;Times New Roman" w:ascii="CG Times;Times New Roman" w:hAnsi="CG Times;Times New Roman"/>
        </w:rPr>
        <w:t xml:space="preserve">.  Exhibit G details a ten year pro forma analysis of the cost effectiveness of the facilities.  </w:t>
      </w:r>
    </w:p>
    <w:p>
      <w:pPr>
        <w:pStyle w:val="BodyText3"/>
        <w:tabs>
          <w:tab w:val="left" w:pos="720" w:leader="none"/>
        </w:tabs>
        <w:spacing w:lineRule="auto" w:line="480"/>
        <w:jc w:val="both"/>
        <w:rPr>
          <w:rFonts w:ascii="CG Times;Times New Roman" w:hAnsi="CG Times;Times New Roman" w:cs="CG Times;Times New Roman"/>
        </w:rPr>
      </w:pPr>
      <w:r>
        <w:rPr>
          <w:rFonts w:cs="CG Times;Times New Roman" w:ascii="CG Times;Times New Roman" w:hAnsi="CG Times;Times New Roman"/>
        </w:rPr>
        <w:tab/>
        <w:t xml:space="preserve">Forecasts demonstrate that, if the first stack replacement is funded, the fuel cell farms could operate net positive on a going-forward basis.  The forecasts assume the average price of power is at the present weighted average standard offer rate for CL&amp;P and UI, and the cost of fuel averages $4.20/mmBtu for the five year forecast period.  If a premium for Class I power is received these additional revenues will be added to an ongoing operations and maintenance reserve.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tab/>
        <w:t>These Class I resources will be made available at market rates to entities wishing to serve retail load in Connecticut.  These resources will be used by competitive electric suppliers in order to meet their portfolio requirements pursuant to Conn. Gen. Stat. § 16-245a.  This will encourage retail competition in Connecticut and promote compliance with the portfolio requirements that are presently impossible to meet.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pPr>
      <w:r>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s>
        <w:spacing w:lineRule="auto" w:line="480"/>
        <w:jc w:val="both"/>
        <w:rPr>
          <w:b/>
        </w:rPr>
      </w:pPr>
      <w:r>
        <w:rPr>
          <w:b/>
        </w:rPr>
        <w:t>V.</w:t>
        <w:tab/>
        <w:t>CONCLUSION</w:t>
      </w:r>
    </w:p>
    <w:p>
      <w:pPr>
        <w:pStyle w:val="BodyText"/>
        <w:tabs>
          <w:tab w:val="left" w:pos="72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 xml:space="preserve">CRRA's proposal fulfills the legislative goals of the Electric Restructuring Act and the State Energy Policy while offering significant benefits to the citizens of Connecticut.  The proposal will provide a Class I renewable energy source that will conserve energy,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market.  The Conservation and Load Management Fund was specifically developed to promote this type of multi-year market transformation initiative.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ab/>
        <w:t xml:space="preserve">Therefore, CRRA respectfully requests that the Department order that the multi-year market transformation initiative proposed by CRRA be funded through the State Conservation and Load Management Fund of CL&amp;P and UI.  Proposed Findings of Fact, Conclusion and Orders are attached in Exhibit H.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ab/>
        <w:tab/>
        <w:tab/>
        <w:tab/>
        <w:tab/>
        <w:t>Respectfully submitted,</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rPr/>
      </w:pPr>
      <w:r>
        <w:rPr/>
        <w:tab/>
        <w:tab/>
        <w:tab/>
        <w:tab/>
        <w:tab/>
        <w:t>CONNECTICUT RESOURCES RECOVERY AUTHORITY</w:t>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4320" w:end="0"/>
        <w:rPr/>
      </w:pPr>
      <w:r>
        <w:rPr/>
      </w:r>
    </w:p>
    <w:p>
      <w:pPr>
        <w:pStyle w:val="Normal"/>
        <w:tabs>
          <w:tab w:val="clear" w:pos="9360"/>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s>
        <w:ind w:start="3240" w:end="0"/>
        <w:rPr>
          <w:strike/>
        </w:rPr>
      </w:pPr>
      <w:r>
        <w:rPr/>
        <w:t xml:space="preserve">By: </w:t>
      </w:r>
      <w:r>
        <w:rPr>
          <w:b/>
        </w:rPr>
        <w:t>__________________________________</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Thomas D. Ritter, Esq.</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Brown, Rudnick, Freed &amp; Gesmer, P.C.</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Cityplace I, 185 Asylum Street</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Hartford, CT 06103-3402</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(860) 509-6500</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ind w:start="3240" w:end="0"/>
        <w:rPr/>
      </w:pPr>
      <w:r>
        <w:rPr/>
        <w:t>Its Attorney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Exhibit  H</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pPr>
      <w:r>
        <w:rPr/>
        <w:t>PROPOSED FINDINGS OF FACT, CONCLUSION AND ORDERS</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Findings of Fact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pPr>
      <w:r>
        <w:rPr/>
        <w:t xml:space="preserve">Conn. Gen. Stat. § 16-245m requires the Department on and after January 1, 2000, to assess or cause to be assessed a charge of three mills per kWh of electricity sold to each end use customer of an electric distribution company to be used to implement cost effective energy conservation programs and market transformation initiatives.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By Decision dated May 10, 2000 in Docket No. 99-09-30, DPUC Review of the Connecticut Light and Power Company’s Conservation and Load Management Plan for 2000, the Department approved The Connecticut Light and Power Company's Conservation and Load Management Plan for 2000.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total year 2000 budget amount approved by the Department for CL&amp;P was $67,314,000.00.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By Decision dated June 14, 2000 in Docket No. 99-10-18, DPUC Review of the United Illuminating Company's Conservation and Load Management Plan for 2000, the Department approved the United Illuminating Company's Conservation and Load Management Plan for 2000.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total year 2000 budget amount approved by the Department for UI was $16,782,876.00.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CRRA's proposal includes the control and responsibility for the operation of several fuel cell farms and related facilities with a combined nominal generating capacity of 26 MW.</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Enron North America Corp will act as the project developer and will develop, construct and install up to five fuel cell farms.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Enron will receive a development fee of 10% of the proposed cost of market transformation initiative.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proposed fuel cell farm locations are on property owned and controlled by CRRA in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Construction of all facilities is anticipated to be completed by December 31, 2004.</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fuel cell farms will utilize fuel cell electrical generation equipment from FuelCell Energy, Inc, based in Danbury,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Enron has a financial investment in with FuelCell Energy, Inc., which will provide a direct and additional incentive to assure the quality and success of the product delivered.</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FuelCell Energy, Inc.'s technology allows the fuel cells to utilize natural gas, methanol, ethanol, bio-gas, and any other fuel containing methane.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All fuel cell modules will be manufactured exclusively in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CRRA will dispatch the unit output into the Connecticut power grid and make power available to market participants.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State statute requires that electric supplier's aggregate portfolios be comprised of approximately 116 MW of Class I resources by July 1, 2004.</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Currently the installed cost of a fuel cell ranges between  $5,000 and $6,000 per kilowatt.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average installed cost for the 26 MW installation is  $4,150 per kilowatt.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expected installed cost of the market transformation initiative is approximately $124,000,000.</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Department orders CL&amp;P and UI to commit a portion of the Energy Conservation and Load Management Fund proceeds in the amount of $23,000,000 each year for a period of four years to fund the fuel cell project.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CRRA is requesting funding from the Renewable Energy Investment Fund pursuant to Conn. Gen. Stat. </w:t>
      </w:r>
      <w:r>
        <w:rPr/>
        <w:t>§ 16-245n in the amount of $8,000,000 per year for a period of four consecutive years.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total funding of $124,000,000 is necessary to both install the fuel cell units and to fund the first stack replacement.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The project will not go forward unless both portions of the funding are secured.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The fuel cell project funding has a minimal impact on the plans of CL&amp;P and UI to utilize the balance of the Energy Conservation and Load Management Fund proceeds for conservation and load management programs.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Under the proposal, approximately 91% of the $1 billion dollars projected to be collected from the Energy Conservation and Load Management Fund over the next ten years will remain available for other conservation and load management programs, including CL&amp;P and UI conservation and load management plans.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t xml:space="preserve">Enron will refund to the Energy Conservation and Load </w:t>
      </w:r>
      <w:r>
        <w:rPr>
          <w:rFonts w:cs="Times New Roman" w:ascii="Times New Roman" w:hAnsi="Times New Roman"/>
        </w:rPr>
        <w:t xml:space="preserve">Management Fund </w:t>
      </w:r>
      <w:r>
        <w:rPr/>
        <w:t xml:space="preserve">the individual plant’s cost </w:t>
      </w:r>
      <w:r>
        <w:rPr>
          <w:rFonts w:cs="Times New Roman" w:ascii="Times New Roman" w:hAnsi="Times New Roman"/>
        </w:rPr>
        <w:t xml:space="preserve">for any individual fuel cell power plant which fails to meet minimum performance standards required for acceptance.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Fuel Cell is a Class I renewable energy source.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Solar and wind technologies are not geographically well suited for Connecticut.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Opportunities for power generated from landfill gas and bio-mass sources are limited by the waste disposal and forestry requirements in the State.</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 xml:space="preserve">FuelCell Energy, Inc.’s fuel cells will use less fuel than other comparably sized distributed generation technology. </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Fuel cells retain their high efficiency rating far beyond the lowest operative levels of combined cycle combustion turbine units.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fuel cell is much cleaner when compared to the cleanest fossil fuel generation system.</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two MW fuel cell requires no towering exhaust stack, is extremely quiet, has virtually no emissions, and only requires space the size of a tennis court.</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A fuel cell can use existing low pressure distribution natural gas lines for fuel supply, and can be interconnected into the distribution grid, thereby reducing the need for construction of additional transmission lines and natural gas pipelines.</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Fuel cells can help ease congestion in the New England electric distribution system.</w:t>
      </w:r>
    </w:p>
    <w:p>
      <w:pPr>
        <w:pStyle w:val="Normal"/>
        <w:numPr>
          <w:ilvl w:val="0"/>
          <w:numId w:val="3"/>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rFonts w:ascii="Times New Roman" w:hAnsi="Times New Roman" w:cs="Times New Roman"/>
        </w:rPr>
      </w:pPr>
      <w:r>
        <w:rPr>
          <w:rFonts w:cs="Times New Roman" w:ascii="Times New Roman" w:hAnsi="Times New Roman"/>
        </w:rPr>
        <w:t>To operate a manufacturing facility that produces 26 MW per year of fuel cells, FuelCell Energy, Inc. projects the need for an additional workforce of over 200</w:t>
      </w:r>
      <w:r>
        <w:rPr>
          <w:rFonts w:cs="Times New Roman" w:ascii="Times New Roman" w:hAnsi="Times New Roman"/>
          <w:b/>
        </w:rPr>
        <w:t xml:space="preserve"> </w:t>
      </w:r>
      <w:r>
        <w:rPr>
          <w:rFonts w:cs="Times New Roman" w:ascii="Times New Roman" w:hAnsi="Times New Roman"/>
        </w:rPr>
        <w:t xml:space="preserve">people. </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 xml:space="preserve">A production order for fuel cells of this size will encourage efficiencies in manufacturing, resulting in lower cost of fuel cells in the future, making fuel cells an economically viable generation alternative.  </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 xml:space="preserve">A large order of fuel cells will increase jobs within Connecticut as a fuel cell company grows to keep pace with this expanding market share on the wholesale and distributed generation business.  </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As one of the first states in the U.S. to deregulate its power industry and to require Class I renewable power resources, Connecticut stands to serve as a benchmark for deregulation and Class I renewable power initiatives throughout the country.</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market transformation initiative is not subject to the cost effectiveness requirement found in Conn. Gen. Stat. Sec. 16-245m.</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energy and ancillary services of the fuel cell farms will be dispatched by the ISO-New England Power Exchange.</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CRRA will produce and submit to ISO-New England a dispatch schedule and bidding strategy that maximizes the value of the plants in the market.</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Revenues from the sale of the plant's electrical output will serve to offset the cost of fuel and operations and to fund a reserve for major maintenance including catalyst stack replacement.</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CRRA proposes that the Class I resources will be made available at market rates to entities wishing to serve retail load in Connecticut.</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Forecasts show that the fuel cell farms will operate net positive on a going forward basis.</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open the retail power market to competitive suppliers who are otherwise discouraged by the Connecticut portfolio requirements.</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help to ensure an adequate and reliable electric power supply.</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diversify the State's energy supply mix.</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overall goals of CRRA's proposal are to advance the efficient use of energy, reduce air pollution, improve public health, and promote economic development in Connecticut.</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CRRA multi-year market transformation initiative meets the goals of the Electric Restructuring Act and the State of Connecticut Energy Policy.</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While it is extremely important to conserve energy by using less electricity as in the Conservation and Load Management Plans of CL&amp;P and UI, it is also important to conserve energy resources by using less fuel.</w:t>
      </w:r>
    </w:p>
    <w:p>
      <w:pPr>
        <w:pStyle w:val="BodyText"/>
        <w:numPr>
          <w:ilvl w:val="0"/>
          <w:numId w:val="3"/>
        </w:numPr>
        <w:tabs>
          <w:tab w:val="left" w:pos="360" w:leader="none"/>
        </w:tabs>
        <w:rPr>
          <w:rFonts w:ascii="CG Times;Times New Roman" w:hAnsi="CG Times;Times New Roman" w:cs="CG Times;Times New Roman"/>
          <w:sz w:val="24"/>
        </w:rPr>
      </w:pPr>
      <w:r>
        <w:rPr>
          <w:rFonts w:cs="CG Times;Times New Roman" w:ascii="CG Times;Times New Roman" w:hAnsi="CG Times;Times New Roman"/>
          <w:sz w:val="24"/>
        </w:rPr>
        <w:t>The Department is charged with using all possible means to obtain the objectives of the State's energy policy.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rFonts w:ascii="CG Times;Times New Roman" w:hAnsi="CG Times;Times New Roman" w:cs="CG Times;Times New Roman"/>
          <w:sz w:val="24"/>
        </w:rPr>
      </w:pPr>
      <w:r>
        <w:rPr>
          <w:rFonts w:cs="CG Times;Times New Roman"/>
          <w:sz w:val="24"/>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Orders</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The CL&amp;P and UI Conservation and Load Management Plans for 2001 are approved to include CRRA's multi-year market transformation initiative. </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The Department directs the disbursement from the Conservation and Load Management Fund in the amount of $23,000,000 each year for a period of four consecutive years.  Payments shall be made to CRRA in equal semi-annual installments.  </w:t>
      </w:r>
    </w:p>
    <w:p>
      <w:pPr>
        <w:pStyle w:val="Normal"/>
        <w:numPr>
          <w:ilvl w:val="0"/>
          <w:numId w:val="2"/>
        </w:numPr>
        <w:tabs>
          <w:tab w:val="clear" w:pos="9360"/>
          <w:tab w:val="left" w:pos="36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pPr>
      <w:r>
        <w:rPr/>
        <w:t xml:space="preserve">The expenditure of such funds in the amounts and at the times shown in Order No. 2 is determined to be a reasonable and prudent expenditure under Sections 16-19, 16-19e and 16-245m of the General Statutes.    </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rPr>
          <w:b/>
        </w:rPr>
      </w:pPr>
      <w:r>
        <w:rPr>
          <w:b/>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end="1260"/>
        <w:rPr>
          <w:rFonts w:ascii="Times New Roman" w:hAnsi="Times New Roman" w:cs="Times New Roman"/>
          <w:b/>
        </w:rPr>
      </w:pPr>
      <w:r>
        <w:rPr>
          <w:rFonts w:cs="Times New Roman" w:ascii="Times New Roman" w:hAnsi="Times New Roman"/>
          <w:b/>
        </w:rPr>
      </w:r>
    </w:p>
    <w:p>
      <w:pPr>
        <w:pStyle w:val="Normal"/>
        <w:jc w:val="center"/>
        <w:rPr>
          <w:b/>
        </w:rPr>
      </w:pPr>
      <w:r>
        <w:rPr>
          <w:b/>
        </w:rPr>
        <w:t xml:space="preserve">Exhibit A </w:t>
      </w:r>
    </w:p>
    <w:p>
      <w:pPr>
        <w:pStyle w:val="Normal"/>
        <w:jc w:val="center"/>
        <w:rPr>
          <w:b/>
        </w:rPr>
      </w:pPr>
      <w:r>
        <w:rPr>
          <w:b/>
        </w:rPr>
      </w:r>
    </w:p>
    <w:p>
      <w:pPr>
        <w:pStyle w:val="Normal"/>
        <w:jc w:val="center"/>
        <w:rPr>
          <w:b/>
        </w:rPr>
      </w:pPr>
      <w:r>
        <w:rPr>
          <w:b/>
        </w:rPr>
        <w:t>Connecticut Renewable Requirements</w:t>
      </w:r>
    </w:p>
    <w:p>
      <w:pPr>
        <w:pStyle w:val="Normal"/>
        <w:jc w:val="center"/>
        <w:rPr>
          <w:b/>
        </w:rPr>
      </w:pPr>
      <w:r>
        <w:rPr>
          <w:b/>
        </w:rPr>
      </w:r>
    </w:p>
    <w:p>
      <w:pPr>
        <w:pStyle w:val="Normal"/>
        <w:jc w:val="both"/>
        <w:rPr/>
      </w:pPr>
      <w:r>
        <w:rPr/>
        <w:t>The total Class I and Class II requirements for the State’s load are listed below.</w:t>
      </w:r>
    </w:p>
    <w:p>
      <w:pPr>
        <w:pStyle w:val="Normal"/>
        <w:jc w:val="both"/>
        <w:rPr/>
      </w:pPr>
      <w:r>
        <w:rPr/>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snapToGrid w:val="false"/>
              <w:spacing w:before="60" w:after="60"/>
              <w:jc w:val="center"/>
              <w:rPr>
                <w:b/>
              </w:rPr>
            </w:pPr>
            <w:r>
              <w:rPr>
                <w:b/>
              </w:rPr>
            </w:r>
          </w:p>
        </w:tc>
        <w:tc>
          <w:tcPr>
            <w:tcW w:w="1296" w:type="dxa"/>
            <w:tcBorders/>
          </w:tcPr>
          <w:p>
            <w:pPr>
              <w:pStyle w:val="Normal"/>
              <w:snapToGrid w:val="false"/>
              <w:spacing w:before="60" w:after="60"/>
              <w:jc w:val="center"/>
              <w:rPr>
                <w:b/>
              </w:rPr>
            </w:pPr>
            <w:r>
              <w:rPr>
                <w:b/>
              </w:rPr>
            </w:r>
          </w:p>
        </w:tc>
        <w:tc>
          <w:tcPr>
            <w:tcW w:w="3197" w:type="dxa"/>
            <w:gridSpan w:val="2"/>
            <w:tcBorders/>
          </w:tcPr>
          <w:p>
            <w:pPr>
              <w:pStyle w:val="Normal"/>
              <w:pBdr>
                <w:bottom w:val="single" w:sz="6" w:space="1" w:color="000000"/>
              </w:pBdr>
              <w:spacing w:before="60" w:after="60"/>
              <w:jc w:val="center"/>
              <w:rPr>
                <w:b/>
              </w:rPr>
            </w:pPr>
            <w:r>
              <w:rPr>
                <w:b/>
              </w:rPr>
              <w:t>Class I Renewables</w:t>
            </w:r>
          </w:p>
        </w:tc>
        <w:tc>
          <w:tcPr>
            <w:tcW w:w="3197" w:type="dxa"/>
            <w:gridSpan w:val="3"/>
            <w:tcBorders/>
          </w:tcPr>
          <w:p>
            <w:pPr>
              <w:pStyle w:val="Normal"/>
              <w:pBdr>
                <w:bottom w:val="single" w:sz="6" w:space="1" w:color="000000"/>
              </w:pBdr>
              <w:spacing w:before="60" w:after="60"/>
              <w:jc w:val="center"/>
              <w:rPr>
                <w:b/>
              </w:rPr>
            </w:pPr>
            <w:r>
              <w:rPr>
                <w:b/>
              </w:rPr>
              <w:t>Class I or II Renewables</w:t>
            </w:r>
          </w:p>
        </w:tc>
      </w:tr>
      <w:tr>
        <w:trPr/>
        <w:tc>
          <w:tcPr>
            <w:tcW w:w="1296" w:type="dxa"/>
            <w:tcBorders/>
          </w:tcPr>
          <w:p>
            <w:pPr>
              <w:pStyle w:val="Normal"/>
              <w:pBdr>
                <w:bottom w:val="single" w:sz="6" w:space="1" w:color="000000"/>
              </w:pBdr>
              <w:spacing w:before="60" w:after="60"/>
              <w:jc w:val="center"/>
              <w:rPr/>
            </w:pPr>
            <w:r>
              <w:rPr/>
              <w:t>From</w:t>
            </w:r>
          </w:p>
        </w:tc>
        <w:tc>
          <w:tcPr>
            <w:tcW w:w="1296" w:type="dxa"/>
            <w:tcBorders/>
          </w:tcPr>
          <w:p>
            <w:pPr>
              <w:pStyle w:val="Normal"/>
              <w:pBdr>
                <w:bottom w:val="single" w:sz="6" w:space="1" w:color="000000"/>
              </w:pBdr>
              <w:spacing w:before="60" w:after="60"/>
              <w:jc w:val="center"/>
              <w:rPr/>
            </w:pPr>
            <w:r>
              <w:rPr/>
              <w:t>To</w:t>
            </w:r>
          </w:p>
        </w:tc>
        <w:tc>
          <w:tcPr>
            <w:tcW w:w="1476" w:type="dxa"/>
            <w:tcBorders/>
          </w:tcPr>
          <w:p>
            <w:pPr>
              <w:pStyle w:val="Normal"/>
              <w:pBdr>
                <w:bottom w:val="single" w:sz="6" w:space="1" w:color="000000"/>
              </w:pBdr>
              <w:spacing w:before="60" w:after="60"/>
              <w:jc w:val="center"/>
              <w:rPr/>
            </w:pPr>
            <w:r>
              <w:rPr/>
              <w:t>% Required</w:t>
            </w:r>
          </w:p>
        </w:tc>
        <w:tc>
          <w:tcPr>
            <w:tcW w:w="1728" w:type="dxa"/>
            <w:gridSpan w:val="2"/>
            <w:tcBorders/>
          </w:tcPr>
          <w:p>
            <w:pPr>
              <w:pStyle w:val="Normal"/>
              <w:pBdr>
                <w:bottom w:val="single" w:sz="6" w:space="1" w:color="000000"/>
              </w:pBdr>
              <w:spacing w:before="60" w:after="60"/>
              <w:jc w:val="center"/>
              <w:rPr/>
            </w:pPr>
            <w:r>
              <w:rPr/>
              <w:t>MW Required</w:t>
            </w:r>
          </w:p>
        </w:tc>
        <w:tc>
          <w:tcPr>
            <w:tcW w:w="1476" w:type="dxa"/>
            <w:tcBorders/>
          </w:tcPr>
          <w:p>
            <w:pPr>
              <w:pStyle w:val="Normal"/>
              <w:pBdr>
                <w:bottom w:val="single" w:sz="6" w:space="1" w:color="000000"/>
              </w:pBdr>
              <w:spacing w:before="60" w:after="60"/>
              <w:jc w:val="center"/>
              <w:rPr/>
            </w:pPr>
            <w:r>
              <w:rPr/>
              <w:t>% Required</w:t>
            </w:r>
          </w:p>
        </w:tc>
        <w:tc>
          <w:tcPr>
            <w:tcW w:w="1728" w:type="dxa"/>
            <w:tcBorders/>
          </w:tcPr>
          <w:p>
            <w:pPr>
              <w:pStyle w:val="Normal"/>
              <w:pBdr>
                <w:bottom w:val="single" w:sz="6" w:space="1" w:color="000000"/>
              </w:pBdr>
              <w:spacing w:before="60" w:after="60"/>
              <w:jc w:val="center"/>
              <w:rPr/>
            </w:pPr>
            <w:r>
              <w:rPr/>
              <w:t>MW Required</w:t>
            </w:r>
          </w:p>
        </w:tc>
      </w:tr>
      <w:tr>
        <w:trPr/>
        <w:tc>
          <w:tcPr>
            <w:tcW w:w="1296" w:type="dxa"/>
            <w:tcBorders/>
          </w:tcPr>
          <w:p>
            <w:pPr>
              <w:pStyle w:val="Normal"/>
              <w:spacing w:before="60" w:after="60"/>
              <w:jc w:val="center"/>
              <w:rPr/>
            </w:pPr>
            <w:r>
              <w:rPr/>
              <w:t>1/1/00</w:t>
            </w:r>
          </w:p>
        </w:tc>
        <w:tc>
          <w:tcPr>
            <w:tcW w:w="1296" w:type="dxa"/>
            <w:tcBorders/>
          </w:tcPr>
          <w:p>
            <w:pPr>
              <w:pStyle w:val="Normal"/>
              <w:spacing w:before="60" w:after="60"/>
              <w:jc w:val="center"/>
              <w:rPr/>
            </w:pPr>
            <w:r>
              <w:rPr/>
              <w:t>6/30/01</w:t>
            </w:r>
          </w:p>
        </w:tc>
        <w:tc>
          <w:tcPr>
            <w:tcW w:w="1476" w:type="dxa"/>
            <w:tcBorders/>
          </w:tcPr>
          <w:p>
            <w:pPr>
              <w:pStyle w:val="Normal"/>
              <w:spacing w:before="60" w:after="60"/>
              <w:jc w:val="center"/>
              <w:rPr/>
            </w:pPr>
            <w:r>
              <w:rPr/>
              <w:t>0.50%</w:t>
            </w:r>
          </w:p>
        </w:tc>
        <w:tc>
          <w:tcPr>
            <w:tcW w:w="1728" w:type="dxa"/>
            <w:gridSpan w:val="2"/>
            <w:tcBorders/>
          </w:tcPr>
          <w:p>
            <w:pPr>
              <w:pStyle w:val="Normal"/>
              <w:spacing w:before="60" w:after="60"/>
              <w:jc w:val="center"/>
              <w:rPr/>
            </w:pPr>
            <w:r>
              <w:rPr/>
              <w:t>29.0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7/1/01</w:t>
            </w:r>
          </w:p>
        </w:tc>
        <w:tc>
          <w:tcPr>
            <w:tcW w:w="1296" w:type="dxa"/>
            <w:tcBorders/>
          </w:tcPr>
          <w:p>
            <w:pPr>
              <w:pStyle w:val="Normal"/>
              <w:spacing w:before="60" w:after="60"/>
              <w:jc w:val="center"/>
              <w:rPr/>
            </w:pPr>
            <w:r>
              <w:rPr/>
              <w:t>6/30/02</w:t>
            </w:r>
          </w:p>
        </w:tc>
        <w:tc>
          <w:tcPr>
            <w:tcW w:w="1476" w:type="dxa"/>
            <w:tcBorders/>
          </w:tcPr>
          <w:p>
            <w:pPr>
              <w:pStyle w:val="Normal"/>
              <w:spacing w:before="60" w:after="60"/>
              <w:jc w:val="center"/>
              <w:rPr/>
            </w:pPr>
            <w:r>
              <w:rPr/>
              <w:t>0.75%</w:t>
            </w:r>
          </w:p>
        </w:tc>
        <w:tc>
          <w:tcPr>
            <w:tcW w:w="1728" w:type="dxa"/>
            <w:gridSpan w:val="2"/>
            <w:tcBorders/>
          </w:tcPr>
          <w:p>
            <w:pPr>
              <w:pStyle w:val="Normal"/>
              <w:spacing w:before="60" w:after="60"/>
              <w:jc w:val="center"/>
              <w:rPr/>
            </w:pPr>
            <w:r>
              <w:rPr/>
              <w:t>43.5</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7/1/02</w:t>
            </w:r>
          </w:p>
        </w:tc>
        <w:tc>
          <w:tcPr>
            <w:tcW w:w="1296" w:type="dxa"/>
            <w:tcBorders/>
          </w:tcPr>
          <w:p>
            <w:pPr>
              <w:pStyle w:val="Normal"/>
              <w:spacing w:before="60" w:after="60"/>
              <w:jc w:val="center"/>
              <w:rPr/>
            </w:pPr>
            <w:r>
              <w:rPr/>
              <w:t>6/30/03</w:t>
            </w:r>
          </w:p>
        </w:tc>
        <w:tc>
          <w:tcPr>
            <w:tcW w:w="1476" w:type="dxa"/>
            <w:tcBorders/>
          </w:tcPr>
          <w:p>
            <w:pPr>
              <w:pStyle w:val="Normal"/>
              <w:spacing w:before="60" w:after="60"/>
              <w:jc w:val="center"/>
              <w:rPr/>
            </w:pPr>
            <w:r>
              <w:rPr/>
              <w:t>1.00%</w:t>
            </w:r>
          </w:p>
        </w:tc>
        <w:tc>
          <w:tcPr>
            <w:tcW w:w="1728" w:type="dxa"/>
            <w:gridSpan w:val="2"/>
            <w:tcBorders/>
          </w:tcPr>
          <w:p>
            <w:pPr>
              <w:pStyle w:val="Normal"/>
              <w:spacing w:before="60" w:after="60"/>
              <w:jc w:val="center"/>
              <w:rPr/>
            </w:pPr>
            <w:r>
              <w:rPr/>
              <w:t>58.0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7/1/03</w:t>
            </w:r>
          </w:p>
        </w:tc>
        <w:tc>
          <w:tcPr>
            <w:tcW w:w="1296" w:type="dxa"/>
            <w:tcBorders/>
          </w:tcPr>
          <w:p>
            <w:pPr>
              <w:pStyle w:val="Normal"/>
              <w:spacing w:before="60" w:after="60"/>
              <w:jc w:val="center"/>
              <w:rPr/>
            </w:pPr>
            <w:r>
              <w:rPr/>
              <w:t>6/30/04</w:t>
            </w:r>
          </w:p>
        </w:tc>
        <w:tc>
          <w:tcPr>
            <w:tcW w:w="1476" w:type="dxa"/>
            <w:tcBorders/>
          </w:tcPr>
          <w:p>
            <w:pPr>
              <w:pStyle w:val="Normal"/>
              <w:spacing w:before="60" w:after="60"/>
              <w:jc w:val="center"/>
              <w:rPr/>
            </w:pPr>
            <w:r>
              <w:rPr/>
              <w:t>1.50%</w:t>
            </w:r>
          </w:p>
        </w:tc>
        <w:tc>
          <w:tcPr>
            <w:tcW w:w="1728" w:type="dxa"/>
            <w:gridSpan w:val="2"/>
            <w:tcBorders/>
          </w:tcPr>
          <w:p>
            <w:pPr>
              <w:pStyle w:val="Normal"/>
              <w:spacing w:before="60" w:after="60"/>
              <w:jc w:val="center"/>
              <w:rPr/>
            </w:pPr>
            <w:r>
              <w:rPr/>
              <w:t>87.0</w:t>
            </w:r>
          </w:p>
        </w:tc>
        <w:tc>
          <w:tcPr>
            <w:tcW w:w="1476" w:type="dxa"/>
            <w:tcBorders/>
          </w:tcPr>
          <w:p>
            <w:pPr>
              <w:pStyle w:val="Normal"/>
              <w:spacing w:before="60" w:after="60"/>
              <w:jc w:val="center"/>
              <w:rPr/>
            </w:pPr>
            <w:r>
              <w:rPr/>
              <w:t>5.50%</w:t>
            </w:r>
          </w:p>
        </w:tc>
        <w:tc>
          <w:tcPr>
            <w:tcW w:w="1728" w:type="dxa"/>
            <w:tcBorders/>
          </w:tcPr>
          <w:p>
            <w:pPr>
              <w:pStyle w:val="Normal"/>
              <w:spacing w:before="60" w:after="60"/>
              <w:jc w:val="center"/>
              <w:rPr/>
            </w:pPr>
            <w:r>
              <w:rPr/>
              <w:t>319.0</w:t>
            </w:r>
          </w:p>
        </w:tc>
      </w:tr>
      <w:tr>
        <w:trPr/>
        <w:tc>
          <w:tcPr>
            <w:tcW w:w="1296" w:type="dxa"/>
            <w:tcBorders/>
          </w:tcPr>
          <w:p>
            <w:pPr>
              <w:pStyle w:val="Normal"/>
              <w:spacing w:before="60" w:after="60"/>
              <w:jc w:val="center"/>
              <w:rPr/>
            </w:pPr>
            <w:r>
              <w:rPr/>
              <w:t>7/1/04</w:t>
            </w:r>
          </w:p>
        </w:tc>
        <w:tc>
          <w:tcPr>
            <w:tcW w:w="1296" w:type="dxa"/>
            <w:tcBorders/>
          </w:tcPr>
          <w:p>
            <w:pPr>
              <w:pStyle w:val="Normal"/>
              <w:spacing w:before="60" w:after="60"/>
              <w:jc w:val="center"/>
              <w:rPr/>
            </w:pPr>
            <w:r>
              <w:rPr/>
              <w:t>6/30/05</w:t>
            </w:r>
          </w:p>
        </w:tc>
        <w:tc>
          <w:tcPr>
            <w:tcW w:w="1476" w:type="dxa"/>
            <w:tcBorders/>
          </w:tcPr>
          <w:p>
            <w:pPr>
              <w:pStyle w:val="Normal"/>
              <w:spacing w:before="60" w:after="60"/>
              <w:jc w:val="center"/>
              <w:rPr/>
            </w:pPr>
            <w:r>
              <w:rPr/>
              <w:t>2.00%</w:t>
            </w:r>
          </w:p>
        </w:tc>
        <w:tc>
          <w:tcPr>
            <w:tcW w:w="1728" w:type="dxa"/>
            <w:gridSpan w:val="2"/>
            <w:tcBorders/>
          </w:tcPr>
          <w:p>
            <w:pPr>
              <w:pStyle w:val="Normal"/>
              <w:spacing w:before="60" w:after="60"/>
              <w:jc w:val="center"/>
              <w:rPr/>
            </w:pPr>
            <w:r>
              <w:rPr/>
              <w:t>116.0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7/1/05</w:t>
            </w:r>
          </w:p>
        </w:tc>
        <w:tc>
          <w:tcPr>
            <w:tcW w:w="1296" w:type="dxa"/>
            <w:tcBorders/>
          </w:tcPr>
          <w:p>
            <w:pPr>
              <w:pStyle w:val="Normal"/>
              <w:spacing w:before="60" w:after="60"/>
              <w:jc w:val="center"/>
              <w:rPr/>
            </w:pPr>
            <w:r>
              <w:rPr/>
              <w:t>6/30/06</w:t>
            </w:r>
          </w:p>
        </w:tc>
        <w:tc>
          <w:tcPr>
            <w:tcW w:w="1476" w:type="dxa"/>
            <w:tcBorders/>
          </w:tcPr>
          <w:p>
            <w:pPr>
              <w:pStyle w:val="Normal"/>
              <w:spacing w:before="60" w:after="60"/>
              <w:jc w:val="center"/>
              <w:rPr/>
            </w:pPr>
            <w:r>
              <w:rPr/>
              <w:t>2.50%</w:t>
            </w:r>
          </w:p>
        </w:tc>
        <w:tc>
          <w:tcPr>
            <w:tcW w:w="1728" w:type="dxa"/>
            <w:gridSpan w:val="2"/>
            <w:tcBorders/>
          </w:tcPr>
          <w:p>
            <w:pPr>
              <w:pStyle w:val="Normal"/>
              <w:spacing w:before="60" w:after="60"/>
              <w:jc w:val="center"/>
              <w:rPr/>
            </w:pPr>
            <w:r>
              <w:rPr/>
              <w:t>145.0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7/1/06</w:t>
            </w:r>
          </w:p>
        </w:tc>
        <w:tc>
          <w:tcPr>
            <w:tcW w:w="1296" w:type="dxa"/>
            <w:tcBorders/>
          </w:tcPr>
          <w:p>
            <w:pPr>
              <w:pStyle w:val="Normal"/>
              <w:spacing w:before="60" w:after="60"/>
              <w:jc w:val="center"/>
              <w:rPr/>
            </w:pPr>
            <w:r>
              <w:rPr/>
              <w:t>6/30/07</w:t>
            </w:r>
          </w:p>
        </w:tc>
        <w:tc>
          <w:tcPr>
            <w:tcW w:w="1476" w:type="dxa"/>
            <w:tcBorders/>
          </w:tcPr>
          <w:p>
            <w:pPr>
              <w:pStyle w:val="Normal"/>
              <w:spacing w:before="60" w:after="60"/>
              <w:jc w:val="center"/>
              <w:rPr/>
            </w:pPr>
            <w:r>
              <w:rPr/>
              <w:t>3.00%</w:t>
            </w:r>
          </w:p>
        </w:tc>
        <w:tc>
          <w:tcPr>
            <w:tcW w:w="1728" w:type="dxa"/>
            <w:gridSpan w:val="2"/>
            <w:tcBorders/>
          </w:tcPr>
          <w:p>
            <w:pPr>
              <w:pStyle w:val="Normal"/>
              <w:spacing w:before="60" w:after="60"/>
              <w:jc w:val="center"/>
              <w:rPr/>
            </w:pPr>
            <w:r>
              <w:rPr/>
              <w:t>174.0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7/1/07</w:t>
            </w:r>
          </w:p>
        </w:tc>
        <w:tc>
          <w:tcPr>
            <w:tcW w:w="1296" w:type="dxa"/>
            <w:tcBorders/>
          </w:tcPr>
          <w:p>
            <w:pPr>
              <w:pStyle w:val="Normal"/>
              <w:spacing w:before="60" w:after="60"/>
              <w:jc w:val="center"/>
              <w:rPr/>
            </w:pPr>
            <w:r>
              <w:rPr/>
              <w:t>6/30/08</w:t>
            </w:r>
          </w:p>
        </w:tc>
        <w:tc>
          <w:tcPr>
            <w:tcW w:w="1476" w:type="dxa"/>
            <w:tcBorders/>
          </w:tcPr>
          <w:p>
            <w:pPr>
              <w:pStyle w:val="Normal"/>
              <w:spacing w:before="60" w:after="60"/>
              <w:jc w:val="center"/>
              <w:rPr/>
            </w:pPr>
            <w:r>
              <w:rPr/>
              <w:t>4.00%</w:t>
            </w:r>
          </w:p>
        </w:tc>
        <w:tc>
          <w:tcPr>
            <w:tcW w:w="1728" w:type="dxa"/>
            <w:gridSpan w:val="2"/>
            <w:tcBorders/>
          </w:tcPr>
          <w:p>
            <w:pPr>
              <w:pStyle w:val="Normal"/>
              <w:spacing w:before="60" w:after="60"/>
              <w:jc w:val="center"/>
              <w:rPr/>
            </w:pPr>
            <w:r>
              <w:rPr/>
              <w:t>232.0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7/1/08</w:t>
            </w:r>
          </w:p>
        </w:tc>
        <w:tc>
          <w:tcPr>
            <w:tcW w:w="1296" w:type="dxa"/>
            <w:tcBorders/>
          </w:tcPr>
          <w:p>
            <w:pPr>
              <w:pStyle w:val="Normal"/>
              <w:spacing w:before="60" w:after="60"/>
              <w:jc w:val="center"/>
              <w:rPr/>
            </w:pPr>
            <w:r>
              <w:rPr/>
              <w:t>6/30/09</w:t>
            </w:r>
          </w:p>
        </w:tc>
        <w:tc>
          <w:tcPr>
            <w:tcW w:w="1476" w:type="dxa"/>
            <w:tcBorders/>
          </w:tcPr>
          <w:p>
            <w:pPr>
              <w:pStyle w:val="Normal"/>
              <w:spacing w:before="60" w:after="60"/>
              <w:jc w:val="center"/>
              <w:rPr/>
            </w:pPr>
            <w:r>
              <w:rPr/>
              <w:t>5.00%</w:t>
            </w:r>
          </w:p>
        </w:tc>
        <w:tc>
          <w:tcPr>
            <w:tcW w:w="1728" w:type="dxa"/>
            <w:gridSpan w:val="2"/>
            <w:tcBorders/>
          </w:tcPr>
          <w:p>
            <w:pPr>
              <w:pStyle w:val="Normal"/>
              <w:spacing w:before="60" w:after="60"/>
              <w:jc w:val="center"/>
              <w:rPr/>
            </w:pPr>
            <w:r>
              <w:rPr/>
              <w:t>290.0</w:t>
            </w:r>
          </w:p>
        </w:tc>
        <w:tc>
          <w:tcPr>
            <w:tcW w:w="1476" w:type="dxa"/>
            <w:tcBorders/>
          </w:tcPr>
          <w:p>
            <w:pPr>
              <w:pStyle w:val="Normal"/>
              <w:spacing w:before="60" w:after="60"/>
              <w:jc w:val="center"/>
              <w:rPr/>
            </w:pPr>
            <w:r>
              <w:rPr/>
              <w:t>6.00%</w:t>
            </w:r>
          </w:p>
        </w:tc>
        <w:tc>
          <w:tcPr>
            <w:tcW w:w="1728" w:type="dxa"/>
            <w:tcBorders/>
          </w:tcPr>
          <w:p>
            <w:pPr>
              <w:pStyle w:val="Normal"/>
              <w:spacing w:before="60" w:after="60"/>
              <w:jc w:val="center"/>
              <w:rPr/>
            </w:pPr>
            <w:r>
              <w:rPr/>
              <w:t>348.0</w:t>
            </w:r>
          </w:p>
        </w:tc>
      </w:tr>
      <w:tr>
        <w:trPr/>
        <w:tc>
          <w:tcPr>
            <w:tcW w:w="1296" w:type="dxa"/>
            <w:tcBorders/>
          </w:tcPr>
          <w:p>
            <w:pPr>
              <w:pStyle w:val="Normal"/>
              <w:spacing w:before="60" w:after="60"/>
              <w:jc w:val="center"/>
              <w:rPr/>
            </w:pPr>
            <w:r>
              <w:rPr/>
              <w:t>7/1/09</w:t>
            </w:r>
          </w:p>
        </w:tc>
        <w:tc>
          <w:tcPr>
            <w:tcW w:w="1296" w:type="dxa"/>
            <w:tcBorders/>
          </w:tcPr>
          <w:p>
            <w:pPr>
              <w:pStyle w:val="Normal"/>
              <w:spacing w:before="60" w:after="60"/>
              <w:jc w:val="center"/>
              <w:rPr/>
            </w:pPr>
            <w:r>
              <w:rPr/>
              <w:t>Thereafter</w:t>
            </w:r>
          </w:p>
        </w:tc>
        <w:tc>
          <w:tcPr>
            <w:tcW w:w="1476" w:type="dxa"/>
            <w:tcBorders/>
          </w:tcPr>
          <w:p>
            <w:pPr>
              <w:pStyle w:val="Normal"/>
              <w:spacing w:before="60" w:after="60"/>
              <w:jc w:val="center"/>
              <w:rPr/>
            </w:pPr>
            <w:r>
              <w:rPr/>
              <w:t>6.00%</w:t>
            </w:r>
          </w:p>
        </w:tc>
        <w:tc>
          <w:tcPr>
            <w:tcW w:w="1728" w:type="dxa"/>
            <w:gridSpan w:val="2"/>
            <w:tcBorders/>
          </w:tcPr>
          <w:p>
            <w:pPr>
              <w:pStyle w:val="Normal"/>
              <w:spacing w:before="60" w:after="60"/>
              <w:jc w:val="center"/>
              <w:rPr/>
            </w:pPr>
            <w:r>
              <w:rPr/>
              <w:t>348.0</w:t>
            </w:r>
          </w:p>
        </w:tc>
        <w:tc>
          <w:tcPr>
            <w:tcW w:w="1476" w:type="dxa"/>
            <w:tcBorders/>
          </w:tcPr>
          <w:p>
            <w:pPr>
              <w:pStyle w:val="Normal"/>
              <w:spacing w:before="60" w:after="60"/>
              <w:jc w:val="center"/>
              <w:rPr/>
            </w:pPr>
            <w:r>
              <w:rPr/>
              <w:t>7.00%</w:t>
            </w:r>
          </w:p>
        </w:tc>
        <w:tc>
          <w:tcPr>
            <w:tcW w:w="1728" w:type="dxa"/>
            <w:tcBorders/>
          </w:tcPr>
          <w:p>
            <w:pPr>
              <w:pStyle w:val="Normal"/>
              <w:spacing w:before="60" w:after="60"/>
              <w:jc w:val="center"/>
              <w:rPr/>
            </w:pPr>
            <w:r>
              <w:rPr/>
              <w:t>406.0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r>
        <w:br w:type="page"/>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spacing w:lineRule="auto" w:line="480"/>
        <w:jc w:val="center"/>
        <w:rPr>
          <w:b/>
        </w:rPr>
      </w:pPr>
      <w:r>
        <w:rPr>
          <w:b/>
        </w:rPr>
        <w:t>CONFIDENTIAL/PROPRIETARY</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t>FILED UNDER PROTECTIVE ORDER</w: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jc w:val="center"/>
        <w:rPr>
          <w:b/>
        </w:rPr>
      </w:pPr>
      <w:r>
        <w:rPr>
          <w:b/>
        </w:rPr>
      </w:r>
    </w:p>
    <w:p>
      <w:pPr>
        <w:pStyle w:val="Normal"/>
        <w:jc w:val="center"/>
        <w:rPr>
          <w:b/>
        </w:rPr>
      </w:pPr>
      <w:r>
        <w:rPr>
          <w:b/>
        </w:rPr>
        <w:t>Exhibit B</w:t>
      </w:r>
    </w:p>
    <w:p>
      <w:pPr>
        <w:pStyle w:val="Normal"/>
        <w:jc w:val="center"/>
        <w:rPr>
          <w:b/>
          <w:sz w:val="32"/>
        </w:rPr>
      </w:pPr>
      <w:r>
        <w:rPr>
          <w:b/>
          <w:sz w:val="32"/>
        </w:rPr>
        <w:t xml:space="preserve">Expected All-In Cost per Plant </w:t>
      </w:r>
    </w:p>
    <w:p>
      <w:pPr>
        <w:pStyle w:val="Normal"/>
        <w:rPr>
          <w:b/>
        </w:rPr>
      </w:pPr>
      <w:r>
        <w:rPr>
          <w:b/>
        </w:rPr>
      </w:r>
      <w:r>
        <mc:AlternateContent>
          <mc:Choice Requires="wps">
            <w:drawing>
              <wp:anchor behindDoc="0" distT="0" distB="0" distL="114300" distR="114300" simplePos="0" locked="0" layoutInCell="0" allowOverlap="1" relativeHeight="2">
                <wp:simplePos x="0" y="0"/>
                <wp:positionH relativeFrom="page">
                  <wp:posOffset>280670</wp:posOffset>
                </wp:positionH>
                <wp:positionV relativeFrom="paragraph">
                  <wp:posOffset>304165</wp:posOffset>
                </wp:positionV>
                <wp:extent cx="6972935" cy="4565650"/>
                <wp:effectExtent l="0" t="0" r="0" b="0"/>
                <wp:wrapSquare wrapText="bothSides"/>
                <wp:docPr id="1" name="Frame1"/>
                <a:graphic xmlns:a="http://schemas.openxmlformats.org/drawingml/2006/main">
                  <a:graphicData uri="http://schemas.microsoft.com/office/word/2010/wordprocessingShape">
                    <wps:wsp>
                      <wps:cNvSpPr txBox="1"/>
                      <wps:spPr>
                        <a:xfrm>
                          <a:off x="0" y="0"/>
                          <a:ext cx="6972935" cy="4565650"/>
                        </a:xfrm>
                        <a:prstGeom prst="rect"/>
                        <a:solidFill>
                          <a:srgbClr val="FFFFFF">
                            <a:alpha val="0"/>
                          </a:srgbClr>
                        </a:solidFill>
                      </wps:spPr>
                      <wps:txbx>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b/>
                              </w:rPr>
                            </w:pPr>
                            <w:r>
                              <w:rPr>
                                <w:sz w:val="20"/>
                              </w:rPr>
                              <w:object w:dxaOrig="11102" w:dyaOrig="725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75.8pt;height:341.8pt" filled="f" o:ole="">
                                  <v:imagedata r:id="rId7" o:title=""/>
                                </v:shape>
                                <o:OLEObject Type="Embed" ProgID="" ShapeID="ole_rId6" DrawAspect="Content" ObjectID="_999978893" r:id="rId6"/>
                              </w:object>
                            </w:r>
                          </w:p>
                        </w:txbxContent>
                      </wps:txbx>
                      <wps:bodyPr anchor="t" lIns="0" tIns="0" rIns="0" bIns="0">
                        <a:noAutofit/>
                      </wps:bodyPr>
                    </wps:wsp>
                  </a:graphicData>
                </a:graphic>
              </wp:anchor>
            </w:drawing>
          </mc:Choice>
          <mc:Fallback>
            <w:pict>
              <v:rect fillcolor="#FFFFFF" style="position:absolute;rotation:-0;width:549.05pt;height:359.5pt;mso-wrap-distance-left:9pt;mso-wrap-distance-right:9pt;mso-wrap-distance-top:0pt;mso-wrap-distance-bottom:0pt;margin-top:23.95pt;mso-position-vertical-relative:text;margin-left:22.1pt;mso-position-horizontal-relative:page">
                <v:fill opacity="0f"/>
                <v:textbox inset="0in,0in,0in,0in">
                  <w:txbxContent>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s>
                        <w:rPr>
                          <w:b/>
                        </w:rPr>
                      </w:pPr>
                      <w:r>
                        <w:rPr>
                          <w:sz w:val="20"/>
                        </w:rPr>
                        <w:object w:dxaOrig="11102" w:dyaOrig="725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75.8pt;height:341.8pt" filled="f" o:ole="">
                            <v:imagedata r:id="rId9" o:title=""/>
                          </v:shape>
                          <o:OLEObject Type="Embed" ProgID="" ShapeID="ole_rId8" DrawAspect="Content" ObjectID="_987144618" r:id="rId8"/>
                        </w:object>
                      </w:r>
                    </w:p>
                  </w:txbxContent>
                </v:textbox>
                <w10:wrap type="square"/>
              </v:rect>
            </w:pict>
          </mc:Fallback>
        </mc:AlternateContent>
      </w:r>
    </w:p>
    <w:p>
      <w:pPr>
        <w:pStyle w:val="Normal"/>
        <w:tabs>
          <w:tab w:val="clear" w:pos="9360"/>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10710" w:leader="none"/>
        </w:tabs>
        <w:ind w:start="-720" w:end="1260"/>
        <w:rPr>
          <w:b/>
        </w:rPr>
      </w:pPr>
      <w:r>
        <w:rPr>
          <w:b/>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ind w:end="1260"/>
        <w:rPr>
          <w:b/>
        </w:rPr>
      </w:pPr>
      <w:r>
        <w:rPr>
          <w:b/>
        </w:rPr>
      </w:r>
    </w:p>
    <w:p>
      <w:pPr>
        <w:pStyle w:val="Normal"/>
        <w:ind w:end="1260"/>
        <w:rPr>
          <w:b/>
        </w:rPr>
      </w:pPr>
      <w:r>
        <w:rPr>
          <w:b/>
        </w:rPr>
      </w:r>
    </w:p>
    <w:p>
      <w:pPr>
        <w:pStyle w:val="Normal"/>
        <w:ind w:end="1260"/>
        <w:jc w:val="center"/>
        <w:rPr>
          <w:b/>
        </w:rPr>
      </w:pPr>
      <w:r>
        <w:rPr>
          <w:b/>
        </w:rPr>
        <w:t>Exhibit C</w:t>
      </w:r>
    </w:p>
    <w:p>
      <w:pPr>
        <w:pStyle w:val="Normal"/>
        <w:ind w:end="1260"/>
        <w:jc w:val="center"/>
        <w:rPr>
          <w:b/>
          <w:sz w:val="32"/>
        </w:rPr>
      </w:pPr>
      <w:r>
        <w:rPr>
          <w:b/>
          <w:sz w:val="32"/>
        </w:rPr>
        <w:t>Cumulative Expected Project Costs</w:t>
      </w:r>
    </w:p>
    <w:p>
      <w:pPr>
        <w:pStyle w:val="Normal"/>
        <w:ind w:end="1260"/>
        <w:rPr>
          <w:b/>
          <w:sz w:val="32"/>
        </w:rPr>
      </w:pPr>
      <w:r>
        <w:rPr>
          <w:b/>
          <w:sz w:val="32"/>
        </w:rPr>
      </w:r>
    </w:p>
    <w:p>
      <w:pPr>
        <w:pStyle w:val="Normal"/>
        <w:ind w:end="1260"/>
        <w:rPr>
          <w:b/>
        </w:rPr>
      </w:pPr>
      <w:r>
        <w:rPr>
          <w:b/>
        </w:rPr>
      </w:r>
    </w:p>
    <w:p>
      <w:pPr>
        <w:pStyle w:val="Normal"/>
        <w:ind w:end="1260"/>
        <w:rPr>
          <w:b/>
        </w:rPr>
      </w:pPr>
      <w:r>
        <w:rPr>
          <w:b/>
        </w:rPr>
      </w:r>
    </w:p>
    <w:tbl>
      <w:tblPr>
        <w:tblW w:w="7578" w:type="dxa"/>
        <w:jc w:val="start"/>
        <w:tblInd w:w="0" w:type="dxa"/>
        <w:tblLayout w:type="fixed"/>
        <w:tblCellMar>
          <w:top w:w="0" w:type="dxa"/>
          <w:start w:w="108" w:type="dxa"/>
          <w:bottom w:w="0" w:type="dxa"/>
          <w:end w:w="108" w:type="dxa"/>
        </w:tblCellMar>
      </w:tblPr>
      <w:tblGrid>
        <w:gridCol w:w="4518"/>
        <w:gridCol w:w="3060"/>
      </w:tblGrid>
      <w:tr>
        <w:trPr/>
        <w:tc>
          <w:tcPr>
            <w:tcW w:w="4518" w:type="dxa"/>
            <w:tcBorders>
              <w:top w:val="single" w:sz="6" w:space="0" w:color="000000"/>
              <w:start w:val="single" w:sz="6" w:space="0" w:color="000000"/>
            </w:tcBorders>
          </w:tcPr>
          <w:p>
            <w:pPr>
              <w:pStyle w:val="Normal"/>
              <w:spacing w:before="60" w:after="60"/>
              <w:ind w:end="1260"/>
              <w:rPr/>
            </w:pPr>
            <w:r>
              <w:rPr>
                <w:b/>
              </w:rPr>
              <w:t xml:space="preserve">Total Installation Costs, </w:t>
            </w:r>
            <w:r>
              <w:rPr/>
              <w:br/>
            </w:r>
            <w:r>
              <w:rPr>
                <w:b/>
              </w:rPr>
              <w:t>Incl. Balance of Plant Costs</w:t>
            </w:r>
          </w:p>
        </w:tc>
        <w:tc>
          <w:tcPr>
            <w:tcW w:w="3060" w:type="dxa"/>
            <w:tcBorders>
              <w:top w:val="single" w:sz="6" w:space="0" w:color="000000"/>
              <w:end w:val="single" w:sz="6" w:space="0" w:color="000000"/>
            </w:tcBorders>
          </w:tcPr>
          <w:p>
            <w:pPr>
              <w:pStyle w:val="Normal"/>
              <w:spacing w:before="60" w:after="60"/>
              <w:ind w:end="1260"/>
              <w:jc w:val="end"/>
              <w:rPr/>
            </w:pPr>
            <w:r>
              <w:rPr/>
              <w:br/>
            </w:r>
            <w:r>
              <w:rPr>
                <w:b/>
              </w:rPr>
              <w:t>$ 96,350,000</w:t>
            </w:r>
          </w:p>
        </w:tc>
      </w:tr>
      <w:tr>
        <w:trPr/>
        <w:tc>
          <w:tcPr>
            <w:tcW w:w="4518" w:type="dxa"/>
            <w:tcBorders>
              <w:start w:val="single" w:sz="6" w:space="0" w:color="000000"/>
            </w:tcBorders>
          </w:tcPr>
          <w:p>
            <w:pPr>
              <w:pStyle w:val="Heading1"/>
              <w:spacing w:before="60" w:after="60"/>
              <w:ind w:hanging="0" w:start="0" w:end="1260"/>
              <w:rPr>
                <w:b/>
              </w:rPr>
            </w:pPr>
            <w:r>
              <w:rPr>
                <w:b/>
              </w:rPr>
              <w:t>ENA Management Fee</w:t>
            </w:r>
          </w:p>
          <w:p>
            <w:pPr>
              <w:pStyle w:val="Normal"/>
              <w:rPr>
                <w:b/>
              </w:rPr>
            </w:pPr>
            <w:r>
              <w:rPr>
                <w:b/>
              </w:rPr>
              <w:t>Stack Replacement</w:t>
            </w:r>
          </w:p>
        </w:tc>
        <w:tc>
          <w:tcPr>
            <w:tcW w:w="3060" w:type="dxa"/>
            <w:tcBorders>
              <w:end w:val="single" w:sz="6" w:space="0" w:color="000000"/>
            </w:tcBorders>
          </w:tcPr>
          <w:p>
            <w:pPr>
              <w:pStyle w:val="Normal"/>
              <w:spacing w:before="60" w:after="60"/>
              <w:ind w:end="1260"/>
              <w:jc w:val="end"/>
              <w:rPr>
                <w:b/>
              </w:rPr>
            </w:pPr>
            <w:r>
              <w:rPr>
                <w:b/>
              </w:rPr>
              <w:t>$ 9,635,000</w:t>
            </w:r>
          </w:p>
          <w:p>
            <w:pPr>
              <w:pStyle w:val="Normal"/>
              <w:spacing w:before="60" w:after="60"/>
              <w:ind w:end="1260"/>
              <w:jc w:val="end"/>
              <w:rPr>
                <w:b/>
              </w:rPr>
            </w:pPr>
            <w:r>
              <w:rPr>
                <w:b/>
              </w:rPr>
              <w:t>$ 14,000,000</w:t>
            </w:r>
          </w:p>
        </w:tc>
      </w:tr>
      <w:tr>
        <w:trPr/>
        <w:tc>
          <w:tcPr>
            <w:tcW w:w="4518" w:type="dxa"/>
            <w:tcBorders>
              <w:start w:val="single" w:sz="6" w:space="0" w:color="000000"/>
            </w:tcBorders>
          </w:tcPr>
          <w:p>
            <w:pPr>
              <w:pStyle w:val="Heading1"/>
              <w:spacing w:before="60" w:after="60"/>
              <w:ind w:hanging="0" w:start="0" w:end="1260"/>
              <w:rPr>
                <w:b/>
              </w:rPr>
            </w:pPr>
            <w:r>
              <w:rPr>
                <w:b/>
              </w:rPr>
              <w:t>Project Contingency</w:t>
            </w:r>
          </w:p>
        </w:tc>
        <w:tc>
          <w:tcPr>
            <w:tcW w:w="3060" w:type="dxa"/>
            <w:tcBorders>
              <w:end w:val="single" w:sz="6" w:space="0" w:color="000000"/>
            </w:tcBorders>
          </w:tcPr>
          <w:p>
            <w:pPr>
              <w:pStyle w:val="Normal"/>
              <w:pBdr>
                <w:bottom w:val="single" w:sz="6" w:space="1" w:color="000000"/>
              </w:pBdr>
              <w:spacing w:before="60" w:after="60"/>
              <w:ind w:end="1260"/>
              <w:jc w:val="end"/>
              <w:rPr>
                <w:b/>
              </w:rPr>
            </w:pPr>
            <w:r>
              <w:rPr>
                <w:b/>
              </w:rPr>
              <w:t>$ 4,015,000</w:t>
            </w:r>
          </w:p>
        </w:tc>
      </w:tr>
      <w:tr>
        <w:trPr/>
        <w:tc>
          <w:tcPr>
            <w:tcW w:w="4518" w:type="dxa"/>
            <w:tcBorders>
              <w:start w:val="single" w:sz="6" w:space="0" w:color="000000"/>
              <w:bottom w:val="single" w:sz="6" w:space="0" w:color="000000"/>
            </w:tcBorders>
          </w:tcPr>
          <w:p>
            <w:pPr>
              <w:pStyle w:val="Normal"/>
              <w:spacing w:before="60" w:after="60"/>
              <w:ind w:end="1260"/>
              <w:rPr>
                <w:b/>
              </w:rPr>
            </w:pPr>
            <w:r>
              <w:rPr>
                <w:b/>
              </w:rPr>
              <w:t>Total Expected Project Cost</w:t>
            </w:r>
          </w:p>
        </w:tc>
        <w:tc>
          <w:tcPr>
            <w:tcW w:w="3060" w:type="dxa"/>
            <w:tcBorders>
              <w:bottom w:val="single" w:sz="6" w:space="0" w:color="000000"/>
              <w:end w:val="single" w:sz="6" w:space="0" w:color="000000"/>
            </w:tcBorders>
          </w:tcPr>
          <w:p>
            <w:pPr>
              <w:pStyle w:val="Normal"/>
              <w:spacing w:before="60" w:after="60"/>
              <w:ind w:end="1260"/>
              <w:jc w:val="end"/>
              <w:rPr>
                <w:b/>
              </w:rPr>
            </w:pPr>
            <w:r>
              <w:rPr>
                <w:b/>
              </w:rPr>
              <w:t>$ 124,000,000</w:t>
            </w:r>
          </w:p>
        </w:tc>
      </w:tr>
      <w:tr>
        <w:trPr/>
        <w:tc>
          <w:tcPr>
            <w:tcW w:w="4518" w:type="dxa"/>
            <w:tcBorders/>
          </w:tcPr>
          <w:p>
            <w:pPr>
              <w:pStyle w:val="Normal"/>
              <w:snapToGrid w:val="false"/>
              <w:spacing w:before="60" w:after="60"/>
              <w:ind w:end="1260"/>
              <w:rPr>
                <w:b/>
              </w:rPr>
            </w:pPr>
            <w:r>
              <w:rPr>
                <w:b/>
              </w:rPr>
            </w:r>
          </w:p>
        </w:tc>
        <w:tc>
          <w:tcPr>
            <w:tcW w:w="3060" w:type="dxa"/>
            <w:tcBorders/>
          </w:tcPr>
          <w:p>
            <w:pPr>
              <w:pStyle w:val="Normal"/>
              <w:snapToGrid w:val="false"/>
              <w:spacing w:before="60" w:after="60"/>
              <w:ind w:end="1260"/>
              <w:jc w:val="end"/>
              <w:rPr>
                <w:b/>
              </w:rPr>
            </w:pPr>
            <w:r>
              <w:rPr>
                <w:b/>
              </w:rPr>
            </w:r>
          </w:p>
        </w:tc>
      </w:tr>
    </w:tbl>
    <w:p>
      <w:pPr>
        <w:pStyle w:val="Normal"/>
        <w:ind w:end="1260"/>
        <w:rPr>
          <w:b/>
        </w:rPr>
      </w:pPr>
      <w:r>
        <w:rPr>
          <w:b/>
        </w:rPr>
      </w:r>
      <w:r>
        <w:br w:type="page"/>
      </w:r>
    </w:p>
    <w:p>
      <w:pPr>
        <w:pStyle w:val="Heading"/>
        <w:ind w:end="1260"/>
        <w:rPr>
          <w:rFonts w:ascii="CG Times;Times New Roman" w:hAnsi="CG Times;Times New Roman" w:cs="CG Times;Times New Roman"/>
          <w:sz w:val="24"/>
        </w:rPr>
      </w:pPr>
      <w:r>
        <w:rPr>
          <w:rFonts w:cs="CG Times;Times New Roman" w:ascii="CG Times;Times New Roman" w:hAnsi="CG Times;Times New Roman"/>
          <w:sz w:val="24"/>
        </w:rPr>
        <w:t>Exhibit E</w:t>
      </w:r>
    </w:p>
    <w:p>
      <w:pPr>
        <w:pStyle w:val="Heading"/>
        <w:ind w:end="1260"/>
        <w:rPr/>
      </w:pPr>
      <w:r>
        <w:rPr/>
        <w:t>Emissions Comparison Table</w:t>
      </w:r>
    </w:p>
    <w:p>
      <w:pPr>
        <w:pStyle w:val="Normal"/>
        <w:ind w:end="1260"/>
        <w:rPr>
          <w:b/>
          <w:sz w:val="22"/>
        </w:rPr>
      </w:pPr>
      <w:r>
        <w:rPr>
          <w:b/>
          <w:sz w:val="22"/>
        </w:rPr>
      </w:r>
    </w:p>
    <w:p>
      <w:pPr>
        <w:pStyle w:val="Normal"/>
        <w:rPr>
          <w:b/>
          <w:sz w:val="22"/>
        </w:rPr>
      </w:pPr>
      <w:r>
        <w:rPr>
          <w:b/>
          <w:sz w:val="22"/>
        </w:rPr>
      </w:r>
    </w:p>
    <w:p>
      <w:pPr>
        <w:pStyle w:val="Normal"/>
        <w:rPr>
          <w:b/>
          <w:sz w:val="22"/>
        </w:rPr>
      </w:pPr>
      <w:r>
        <w:rPr>
          <w:b/>
          <w:sz w:val="22"/>
        </w:rPr>
      </w:r>
    </w:p>
    <w:tbl>
      <w:tblPr>
        <w:tblW w:w="9259" w:type="dxa"/>
        <w:jc w:val="start"/>
        <w:tblInd w:w="0" w:type="dxa"/>
        <w:tblLayout w:type="fixed"/>
        <w:tblCellMar>
          <w:top w:w="0" w:type="dxa"/>
          <w:start w:w="108" w:type="dxa"/>
          <w:bottom w:w="0" w:type="dxa"/>
          <w:end w:w="108" w:type="dxa"/>
        </w:tblCellMar>
      </w:tblPr>
      <w:tblGrid>
        <w:gridCol w:w="1771"/>
        <w:gridCol w:w="1872"/>
        <w:gridCol w:w="1872"/>
        <w:gridCol w:w="1872"/>
        <w:gridCol w:w="1872"/>
      </w:tblGrid>
      <w:tr>
        <w:trPr/>
        <w:tc>
          <w:tcPr>
            <w:tcW w:w="1771" w:type="dxa"/>
            <w:tcBorders/>
          </w:tcPr>
          <w:p>
            <w:pPr>
              <w:pStyle w:val="Normal"/>
              <w:snapToGrid w:val="false"/>
              <w:jc w:val="center"/>
              <w:rPr>
                <w:b/>
                <w:sz w:val="22"/>
              </w:rPr>
            </w:pPr>
            <w:r>
              <w:rPr>
                <w:b/>
                <w:sz w:val="22"/>
              </w:rPr>
            </w:r>
          </w:p>
        </w:tc>
        <w:tc>
          <w:tcPr>
            <w:tcW w:w="1872" w:type="dxa"/>
            <w:tcBorders/>
          </w:tcPr>
          <w:p>
            <w:pPr>
              <w:pStyle w:val="Normal"/>
              <w:pBdr>
                <w:bottom w:val="single" w:sz="6" w:space="1" w:color="000000"/>
              </w:pBdr>
              <w:jc w:val="center"/>
              <w:rPr>
                <w:b/>
                <w:sz w:val="22"/>
              </w:rPr>
            </w:pPr>
            <w:r>
              <w:rPr>
                <w:b/>
                <w:sz w:val="22"/>
              </w:rPr>
              <w:br/>
              <w:t>2.0 MW Fuel Cell Plant</w:t>
            </w:r>
          </w:p>
        </w:tc>
        <w:tc>
          <w:tcPr>
            <w:tcW w:w="1872" w:type="dxa"/>
            <w:tcBorders/>
          </w:tcPr>
          <w:p>
            <w:pPr>
              <w:pStyle w:val="Normal"/>
              <w:pBdr>
                <w:bottom w:val="single" w:sz="6" w:space="1" w:color="000000"/>
              </w:pBdr>
              <w:jc w:val="center"/>
              <w:rPr>
                <w:b/>
                <w:sz w:val="22"/>
              </w:rPr>
            </w:pPr>
            <w:r>
              <w:rPr>
                <w:b/>
                <w:sz w:val="22"/>
              </w:rPr>
              <w:br/>
              <w:t xml:space="preserve">Simple-Cycle Gas Fired Plant </w:t>
            </w:r>
            <w:r>
              <w:rPr>
                <w:b/>
                <w:sz w:val="18"/>
                <w:vertAlign w:val="superscript"/>
              </w:rPr>
              <w:t>1</w:t>
            </w:r>
          </w:p>
        </w:tc>
        <w:tc>
          <w:tcPr>
            <w:tcW w:w="1872" w:type="dxa"/>
            <w:tcBorders/>
          </w:tcPr>
          <w:p>
            <w:pPr>
              <w:pStyle w:val="Normal"/>
              <w:pBdr>
                <w:bottom w:val="single" w:sz="6" w:space="1" w:color="000000"/>
              </w:pBdr>
              <w:jc w:val="center"/>
              <w:rPr>
                <w:b/>
                <w:sz w:val="22"/>
              </w:rPr>
            </w:pPr>
            <w:r>
              <w:rPr>
                <w:b/>
                <w:sz w:val="22"/>
              </w:rPr>
              <w:br/>
              <w:t xml:space="preserve">Combined-Cycle Gas Fired Plant </w:t>
            </w:r>
            <w:r>
              <w:rPr>
                <w:b/>
                <w:sz w:val="18"/>
                <w:vertAlign w:val="superscript"/>
              </w:rPr>
              <w:t>2</w:t>
            </w:r>
          </w:p>
        </w:tc>
        <w:tc>
          <w:tcPr>
            <w:tcW w:w="1872" w:type="dxa"/>
            <w:tcBorders/>
          </w:tcPr>
          <w:p>
            <w:pPr>
              <w:pStyle w:val="Normal"/>
              <w:pBdr>
                <w:bottom w:val="single" w:sz="6" w:space="1" w:color="000000"/>
              </w:pBdr>
              <w:jc w:val="center"/>
              <w:rPr>
                <w:b/>
                <w:sz w:val="22"/>
              </w:rPr>
            </w:pPr>
            <w:r>
              <w:rPr>
                <w:b/>
                <w:sz w:val="22"/>
              </w:rPr>
              <w:br/>
              <w:br/>
              <w:t>Coal Fired Plant</w:t>
            </w:r>
          </w:p>
        </w:tc>
      </w:tr>
      <w:tr>
        <w:trPr/>
        <w:tc>
          <w:tcPr>
            <w:tcW w:w="1771" w:type="dxa"/>
            <w:tcBorders/>
          </w:tcPr>
          <w:p>
            <w:pPr>
              <w:pStyle w:val="Normal"/>
              <w:rPr>
                <w:b/>
                <w:sz w:val="22"/>
              </w:rPr>
            </w:pPr>
            <w:r>
              <w:rPr>
                <w:b/>
                <w:sz w:val="22"/>
              </w:rPr>
              <w:t>NOx (ppmv)</w:t>
            </w:r>
          </w:p>
        </w:tc>
        <w:tc>
          <w:tcPr>
            <w:tcW w:w="1872" w:type="dxa"/>
            <w:tcBorders/>
          </w:tcPr>
          <w:p>
            <w:pPr>
              <w:pStyle w:val="Normal"/>
              <w:jc w:val="center"/>
              <w:rPr>
                <w:b/>
                <w:sz w:val="22"/>
              </w:rPr>
            </w:pPr>
            <w:r>
              <w:rPr>
                <w:b/>
                <w:sz w:val="22"/>
              </w:rPr>
              <w:t>&lt;0.1</w:t>
            </w:r>
          </w:p>
        </w:tc>
        <w:tc>
          <w:tcPr>
            <w:tcW w:w="1872" w:type="dxa"/>
            <w:tcBorders/>
          </w:tcPr>
          <w:p>
            <w:pPr>
              <w:pStyle w:val="Normal"/>
              <w:jc w:val="center"/>
              <w:rPr/>
            </w:pPr>
            <w:r>
              <w:rPr>
                <w:b/>
                <w:sz w:val="22"/>
              </w:rPr>
              <w:t xml:space="preserve">9.0 </w:t>
            </w:r>
            <w:r>
              <w:rPr>
                <w:sz w:val="22"/>
              </w:rPr>
              <w:t xml:space="preserve">– </w:t>
            </w:r>
            <w:r>
              <w:rPr>
                <w:b/>
                <w:sz w:val="22"/>
              </w:rPr>
              <w:t>25.0</w:t>
            </w:r>
          </w:p>
        </w:tc>
        <w:tc>
          <w:tcPr>
            <w:tcW w:w="1872" w:type="dxa"/>
            <w:tcBorders/>
          </w:tcPr>
          <w:p>
            <w:pPr>
              <w:pStyle w:val="Normal"/>
              <w:jc w:val="center"/>
              <w:rPr/>
            </w:pPr>
            <w:r>
              <w:rPr>
                <w:b/>
                <w:sz w:val="22"/>
              </w:rPr>
              <w:t xml:space="preserve">2.0 </w:t>
            </w:r>
            <w:r>
              <w:rPr>
                <w:sz w:val="22"/>
              </w:rPr>
              <w:t xml:space="preserve">– </w:t>
            </w:r>
            <w:r>
              <w:rPr>
                <w:b/>
                <w:sz w:val="22"/>
              </w:rPr>
              <w:t>25.0</w:t>
            </w:r>
          </w:p>
        </w:tc>
        <w:tc>
          <w:tcPr>
            <w:tcW w:w="1872" w:type="dxa"/>
            <w:tcBorders/>
          </w:tcPr>
          <w:p>
            <w:pPr>
              <w:pStyle w:val="Normal"/>
              <w:jc w:val="center"/>
              <w:rPr/>
            </w:pPr>
            <w:r>
              <w:rPr>
                <w:b/>
                <w:sz w:val="22"/>
              </w:rPr>
              <w:t xml:space="preserve">39.9 </w:t>
            </w:r>
            <w:r>
              <w:rPr>
                <w:sz w:val="22"/>
              </w:rPr>
              <w:t xml:space="preserve">– </w:t>
            </w:r>
            <w:r>
              <w:rPr>
                <w:b/>
                <w:sz w:val="22"/>
              </w:rPr>
              <w:t>171.0</w:t>
            </w:r>
          </w:p>
        </w:tc>
      </w:tr>
      <w:tr>
        <w:trPr/>
        <w:tc>
          <w:tcPr>
            <w:tcW w:w="1771" w:type="dxa"/>
            <w:tcBorders/>
          </w:tcPr>
          <w:p>
            <w:pPr>
              <w:pStyle w:val="Normal"/>
              <w:rPr>
                <w:b/>
                <w:sz w:val="22"/>
              </w:rPr>
            </w:pPr>
            <w:r>
              <w:rPr>
                <w:b/>
                <w:sz w:val="22"/>
              </w:rPr>
              <w:t>SOx (ppmv)</w:t>
            </w:r>
          </w:p>
        </w:tc>
        <w:tc>
          <w:tcPr>
            <w:tcW w:w="1872" w:type="dxa"/>
            <w:tcBorders/>
          </w:tcPr>
          <w:p>
            <w:pPr>
              <w:pStyle w:val="Normal"/>
              <w:jc w:val="center"/>
              <w:rPr>
                <w:b/>
                <w:sz w:val="22"/>
              </w:rPr>
            </w:pPr>
            <w:r>
              <w:rPr>
                <w:b/>
                <w:sz w:val="22"/>
              </w:rPr>
              <w:t>&lt;0.01</w:t>
            </w:r>
          </w:p>
        </w:tc>
        <w:tc>
          <w:tcPr>
            <w:tcW w:w="1872" w:type="dxa"/>
            <w:tcBorders/>
          </w:tcPr>
          <w:p>
            <w:pPr>
              <w:pStyle w:val="Normal"/>
              <w:jc w:val="center"/>
              <w:rPr>
                <w:b/>
                <w:sz w:val="22"/>
              </w:rPr>
            </w:pPr>
            <w:r>
              <w:rPr>
                <w:b/>
                <w:sz w:val="22"/>
              </w:rPr>
              <w:t>1</w:t>
            </w:r>
          </w:p>
        </w:tc>
        <w:tc>
          <w:tcPr>
            <w:tcW w:w="1872" w:type="dxa"/>
            <w:tcBorders/>
          </w:tcPr>
          <w:p>
            <w:pPr>
              <w:pStyle w:val="Normal"/>
              <w:jc w:val="center"/>
              <w:rPr>
                <w:b/>
                <w:sz w:val="22"/>
              </w:rPr>
            </w:pPr>
            <w:r>
              <w:rPr>
                <w:b/>
                <w:sz w:val="22"/>
              </w:rPr>
              <w:t>1</w:t>
            </w:r>
          </w:p>
        </w:tc>
        <w:tc>
          <w:tcPr>
            <w:tcW w:w="1872" w:type="dxa"/>
            <w:tcBorders/>
          </w:tcPr>
          <w:p>
            <w:pPr>
              <w:pStyle w:val="Normal"/>
              <w:jc w:val="center"/>
              <w:rPr/>
            </w:pPr>
            <w:r>
              <w:rPr>
                <w:b/>
                <w:sz w:val="22"/>
              </w:rPr>
              <w:t xml:space="preserve">40.9 </w:t>
            </w:r>
            <w:r>
              <w:rPr>
                <w:sz w:val="22"/>
              </w:rPr>
              <w:t xml:space="preserve">– </w:t>
            </w:r>
            <w:r>
              <w:rPr>
                <w:b/>
                <w:sz w:val="22"/>
              </w:rPr>
              <w:t>286.4</w:t>
            </w:r>
          </w:p>
        </w:tc>
      </w:tr>
      <w:tr>
        <w:trPr/>
        <w:tc>
          <w:tcPr>
            <w:tcW w:w="1771" w:type="dxa"/>
            <w:tcBorders/>
          </w:tcPr>
          <w:p>
            <w:pPr>
              <w:pStyle w:val="Normal"/>
              <w:rPr>
                <w:b/>
                <w:sz w:val="22"/>
              </w:rPr>
            </w:pPr>
            <w:r>
              <w:rPr>
                <w:b/>
                <w:sz w:val="22"/>
              </w:rPr>
              <w:t>CO (ppmv)</w:t>
            </w:r>
          </w:p>
        </w:tc>
        <w:tc>
          <w:tcPr>
            <w:tcW w:w="1872" w:type="dxa"/>
            <w:tcBorders/>
          </w:tcPr>
          <w:p>
            <w:pPr>
              <w:pStyle w:val="Normal"/>
              <w:jc w:val="center"/>
              <w:rPr>
                <w:b/>
                <w:sz w:val="22"/>
              </w:rPr>
            </w:pPr>
            <w:r>
              <w:rPr>
                <w:b/>
                <w:sz w:val="22"/>
              </w:rPr>
              <w:t>&lt;10</w:t>
            </w:r>
          </w:p>
        </w:tc>
        <w:tc>
          <w:tcPr>
            <w:tcW w:w="1872" w:type="dxa"/>
            <w:tcBorders/>
          </w:tcPr>
          <w:p>
            <w:pPr>
              <w:pStyle w:val="Normal"/>
              <w:jc w:val="center"/>
              <w:rPr/>
            </w:pPr>
            <w:r>
              <w:rPr>
                <w:b/>
                <w:sz w:val="22"/>
              </w:rPr>
              <w:t xml:space="preserve">10.0 </w:t>
            </w:r>
            <w:r>
              <w:rPr>
                <w:sz w:val="22"/>
              </w:rPr>
              <w:t xml:space="preserve">– </w:t>
            </w:r>
            <w:r>
              <w:rPr>
                <w:b/>
                <w:sz w:val="22"/>
              </w:rPr>
              <w:t>50.0</w:t>
            </w:r>
          </w:p>
        </w:tc>
        <w:tc>
          <w:tcPr>
            <w:tcW w:w="1872" w:type="dxa"/>
            <w:tcBorders/>
          </w:tcPr>
          <w:p>
            <w:pPr>
              <w:pStyle w:val="Normal"/>
              <w:jc w:val="center"/>
              <w:rPr/>
            </w:pPr>
            <w:r>
              <w:rPr>
                <w:b/>
                <w:sz w:val="22"/>
              </w:rPr>
              <w:t xml:space="preserve">10.0 </w:t>
            </w:r>
            <w:r>
              <w:rPr>
                <w:sz w:val="22"/>
              </w:rPr>
              <w:t xml:space="preserve">– </w:t>
            </w:r>
            <w:r>
              <w:rPr>
                <w:b/>
                <w:sz w:val="22"/>
              </w:rPr>
              <w:t>50.0</w:t>
            </w:r>
          </w:p>
        </w:tc>
        <w:tc>
          <w:tcPr>
            <w:tcW w:w="1872" w:type="dxa"/>
            <w:tcBorders/>
          </w:tcPr>
          <w:p>
            <w:pPr>
              <w:pStyle w:val="Normal"/>
              <w:jc w:val="center"/>
              <w:rPr>
                <w:b/>
                <w:sz w:val="22"/>
              </w:rPr>
            </w:pPr>
            <w:r>
              <w:rPr>
                <w:b/>
                <w:sz w:val="22"/>
              </w:rPr>
              <w:t>188.0</w:t>
            </w:r>
          </w:p>
        </w:tc>
      </w:tr>
    </w:tbl>
    <w:p>
      <w:pPr>
        <w:pStyle w:val="Normal"/>
        <w:rPr>
          <w:b/>
          <w:sz w:val="22"/>
        </w:rPr>
      </w:pPr>
      <w:r>
        <w:rPr>
          <w:b/>
          <w:sz w:val="22"/>
        </w:rPr>
      </w:r>
    </w:p>
    <w:p>
      <w:pPr>
        <w:pStyle w:val="Normal"/>
        <w:ind w:end="1260"/>
        <w:rPr>
          <w:b/>
          <w:sz w:val="22"/>
        </w:rPr>
      </w:pPr>
      <w:r>
        <w:rPr>
          <w:b/>
          <w:sz w:val="22"/>
        </w:rPr>
      </w:r>
    </w:p>
    <w:p>
      <w:pPr>
        <w:pStyle w:val="Normal"/>
        <w:ind w:end="1260"/>
        <w:rPr>
          <w:b/>
          <w:sz w:val="22"/>
        </w:rPr>
      </w:pPr>
      <w:r>
        <w:rPr>
          <w:b/>
          <w:sz w:val="22"/>
        </w:rPr>
      </w:r>
    </w:p>
    <w:p>
      <w:pPr>
        <w:pStyle w:val="Normal"/>
        <w:numPr>
          <w:ilvl w:val="0"/>
          <w:numId w:val="4"/>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b/>
          <w:sz w:val="22"/>
        </w:rPr>
      </w:pPr>
      <w:r>
        <w:rPr>
          <w:b/>
          <w:sz w:val="22"/>
        </w:rPr>
        <w:t>Lower range attainable only by certain equipment utilizing Dry Low NOx burner technology.</w:t>
      </w:r>
    </w:p>
    <w:p>
      <w:pPr>
        <w:pStyle w:val="Normal"/>
        <w:numPr>
          <w:ilvl w:val="0"/>
          <w:numId w:val="4"/>
        </w:numPr>
        <w:tabs>
          <w:tab w:val="left" w:pos="450" w:leader="none"/>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ind w:hanging="360" w:start="450" w:end="1260"/>
        <w:rPr>
          <w:b/>
          <w:sz w:val="22"/>
        </w:rPr>
      </w:pPr>
      <w:r>
        <w:rPr>
          <w:b/>
          <w:sz w:val="22"/>
        </w:rPr>
        <w:t>Lower range attainable only by certain equipment utilizing Selective Catalytic Reduction (SCR) technology.</w:t>
      </w:r>
      <w:r>
        <w:br w:type="page"/>
      </w:r>
    </w:p>
    <w:p>
      <w:pPr>
        <w:pStyle w:val="Heading"/>
        <w:ind w:end="1260"/>
        <w:rPr>
          <w:rFonts w:ascii="CG Times;Times New Roman" w:hAnsi="CG Times;Times New Roman" w:cs="CG Times;Times New Roman"/>
          <w:sz w:val="24"/>
        </w:rPr>
      </w:pPr>
      <w:r>
        <w:rPr>
          <w:rFonts w:cs="CG Times;Times New Roman" w:ascii="CG Times;Times New Roman" w:hAnsi="CG Times;Times New Roman"/>
          <w:sz w:val="24"/>
        </w:rPr>
        <w:t xml:space="preserve">Exhibit G </w:t>
      </w:r>
    </w:p>
    <w:p>
      <w:pPr>
        <w:pStyle w:val="Heading"/>
        <w:ind w:end="1260"/>
        <w:rPr/>
      </w:pPr>
      <w:r>
        <w:rPr/>
        <w:t>Cost Effectiveness</w:t>
      </w:r>
    </w:p>
    <w:p>
      <w:pPr>
        <w:pStyle w:val="Normal"/>
        <w:ind w:end="1260"/>
        <w:rPr>
          <w:sz w:val="22"/>
        </w:rPr>
      </w:pPr>
      <w:r>
        <w:rPr>
          <w:sz w:val="22"/>
        </w:rPr>
      </w:r>
    </w:p>
    <w:p>
      <w:pPr>
        <w:pStyle w:val="Normal"/>
        <w:ind w:end="1260"/>
        <w:rPr>
          <w:sz w:val="22"/>
        </w:rPr>
      </w:pPr>
      <w:r>
        <w:rPr>
          <w:sz w:val="22"/>
        </w:rPr>
      </w:r>
    </w:p>
    <w:p>
      <w:pPr>
        <w:pStyle w:val="Normal"/>
        <w:ind w:end="1260"/>
        <w:rPr>
          <w:sz w:val="22"/>
        </w:rPr>
      </w:pPr>
      <w:r>
        <w:rPr>
          <w:sz w:val="22"/>
        </w:rPr>
      </w:r>
    </w:p>
    <w:tbl>
      <w:tblPr>
        <w:tblW w:w="10224" w:type="dxa"/>
        <w:jc w:val="start"/>
        <w:tblInd w:w="0" w:type="dxa"/>
        <w:tblLayout w:type="fixed"/>
        <w:tblCellMar>
          <w:top w:w="0" w:type="dxa"/>
          <w:start w:w="108" w:type="dxa"/>
          <w:bottom w:w="0" w:type="dxa"/>
          <w:end w:w="108" w:type="dxa"/>
        </w:tblCellMar>
      </w:tblPr>
      <w:tblGrid>
        <w:gridCol w:w="3024"/>
        <w:gridCol w:w="1440"/>
        <w:gridCol w:w="1440"/>
        <w:gridCol w:w="1440"/>
        <w:gridCol w:w="1440"/>
        <w:gridCol w:w="1440"/>
      </w:tblGrid>
      <w:tr>
        <w:trPr/>
        <w:tc>
          <w:tcPr>
            <w:tcW w:w="3024" w:type="dxa"/>
            <w:tcBorders/>
          </w:tcPr>
          <w:p>
            <w:pPr>
              <w:pStyle w:val="Normal"/>
              <w:rPr>
                <w:b/>
                <w:sz w:val="22"/>
              </w:rPr>
            </w:pPr>
            <w:r>
              <w:rPr>
                <w:b/>
                <w:sz w:val="22"/>
              </w:rPr>
              <w:t>Assumptions:</w:t>
            </w:r>
          </w:p>
        </w:tc>
        <w:tc>
          <w:tcPr>
            <w:tcW w:w="1440" w:type="dxa"/>
            <w:tcBorders/>
          </w:tcPr>
          <w:p>
            <w:pPr>
              <w:pStyle w:val="Normal"/>
              <w:pBdr>
                <w:bottom w:val="single" w:sz="6" w:space="1" w:color="000000"/>
              </w:pBdr>
              <w:jc w:val="center"/>
              <w:rPr>
                <w:b/>
                <w:sz w:val="22"/>
              </w:rPr>
            </w:pPr>
            <w:r>
              <w:rPr>
                <w:b/>
                <w:sz w:val="22"/>
              </w:rPr>
              <w:t>2002</w:t>
            </w:r>
          </w:p>
        </w:tc>
        <w:tc>
          <w:tcPr>
            <w:tcW w:w="1440" w:type="dxa"/>
            <w:tcBorders/>
          </w:tcPr>
          <w:p>
            <w:pPr>
              <w:pStyle w:val="Normal"/>
              <w:pBdr>
                <w:bottom w:val="single" w:sz="6" w:space="1" w:color="000000"/>
              </w:pBdr>
              <w:jc w:val="center"/>
              <w:rPr>
                <w:b/>
                <w:sz w:val="22"/>
              </w:rPr>
            </w:pPr>
            <w:r>
              <w:rPr>
                <w:b/>
                <w:sz w:val="22"/>
              </w:rPr>
              <w:t>2003</w:t>
            </w:r>
          </w:p>
        </w:tc>
        <w:tc>
          <w:tcPr>
            <w:tcW w:w="1440" w:type="dxa"/>
            <w:tcBorders/>
          </w:tcPr>
          <w:p>
            <w:pPr>
              <w:pStyle w:val="Normal"/>
              <w:pBdr>
                <w:bottom w:val="single" w:sz="6" w:space="1" w:color="000000"/>
              </w:pBdr>
              <w:jc w:val="center"/>
              <w:rPr>
                <w:b/>
                <w:sz w:val="22"/>
              </w:rPr>
            </w:pPr>
            <w:r>
              <w:rPr>
                <w:b/>
                <w:sz w:val="22"/>
              </w:rPr>
              <w:t>2004</w:t>
            </w:r>
          </w:p>
        </w:tc>
        <w:tc>
          <w:tcPr>
            <w:tcW w:w="1440" w:type="dxa"/>
            <w:tcBorders/>
          </w:tcPr>
          <w:p>
            <w:pPr>
              <w:pStyle w:val="Normal"/>
              <w:pBdr>
                <w:bottom w:val="single" w:sz="6" w:space="1" w:color="000000"/>
              </w:pBdr>
              <w:jc w:val="center"/>
              <w:rPr>
                <w:b/>
                <w:sz w:val="22"/>
              </w:rPr>
            </w:pPr>
            <w:r>
              <w:rPr>
                <w:b/>
                <w:sz w:val="22"/>
              </w:rPr>
              <w:t>2005</w:t>
            </w:r>
          </w:p>
        </w:tc>
        <w:tc>
          <w:tcPr>
            <w:tcW w:w="1440" w:type="dxa"/>
            <w:tcBorders/>
          </w:tcPr>
          <w:p>
            <w:pPr>
              <w:pStyle w:val="Normal"/>
              <w:pBdr>
                <w:bottom w:val="single" w:sz="6" w:space="1" w:color="000000"/>
              </w:pBdr>
              <w:jc w:val="center"/>
              <w:rPr>
                <w:b/>
                <w:sz w:val="22"/>
              </w:rPr>
            </w:pPr>
            <w:r>
              <w:rPr>
                <w:b/>
                <w:sz w:val="22"/>
              </w:rPr>
              <w:t>2006</w:t>
            </w:r>
          </w:p>
        </w:tc>
      </w:tr>
      <w:tr>
        <w:trPr/>
        <w:tc>
          <w:tcPr>
            <w:tcW w:w="3024" w:type="dxa"/>
            <w:tcBorders/>
          </w:tcPr>
          <w:p>
            <w:pPr>
              <w:pStyle w:val="Normal"/>
              <w:rPr>
                <w:sz w:val="22"/>
              </w:rPr>
            </w:pPr>
            <w:r>
              <w:rPr>
                <w:sz w:val="22"/>
              </w:rPr>
              <w:t>Total Generating MWs</w:t>
            </w:r>
          </w:p>
        </w:tc>
        <w:tc>
          <w:tcPr>
            <w:tcW w:w="1440" w:type="dxa"/>
            <w:tcBorders/>
          </w:tcPr>
          <w:p>
            <w:pPr>
              <w:pStyle w:val="Normal"/>
              <w:jc w:val="center"/>
              <w:rPr/>
            </w:pPr>
            <w:r>
              <w:rPr>
                <w:rFonts w:eastAsia="CG Times;Times New Roman"/>
                <w:sz w:val="22"/>
              </w:rPr>
              <w:t xml:space="preserve">  </w:t>
            </w:r>
            <w:r>
              <w:rPr>
                <w:b/>
                <w:sz w:val="22"/>
              </w:rPr>
              <w:t>26</w:t>
            </w:r>
          </w:p>
        </w:tc>
        <w:tc>
          <w:tcPr>
            <w:tcW w:w="1440" w:type="dxa"/>
            <w:tcBorders/>
          </w:tcPr>
          <w:p>
            <w:pPr>
              <w:pStyle w:val="Normal"/>
              <w:jc w:val="center"/>
              <w:rPr>
                <w:b/>
                <w:sz w:val="22"/>
              </w:rPr>
            </w:pPr>
            <w:r>
              <w:rPr>
                <w:b/>
                <w:sz w:val="22"/>
              </w:rPr>
              <w:t>50</w:t>
            </w:r>
          </w:p>
        </w:tc>
        <w:tc>
          <w:tcPr>
            <w:tcW w:w="1440" w:type="dxa"/>
            <w:tcBorders/>
          </w:tcPr>
          <w:p>
            <w:pPr>
              <w:pStyle w:val="Normal"/>
              <w:jc w:val="center"/>
              <w:rPr>
                <w:b/>
                <w:sz w:val="22"/>
              </w:rPr>
            </w:pPr>
            <w:r>
              <w:rPr>
                <w:b/>
                <w:sz w:val="22"/>
              </w:rPr>
              <w:t>50</w:t>
            </w:r>
          </w:p>
        </w:tc>
        <w:tc>
          <w:tcPr>
            <w:tcW w:w="1440" w:type="dxa"/>
            <w:tcBorders/>
          </w:tcPr>
          <w:p>
            <w:pPr>
              <w:pStyle w:val="Normal"/>
              <w:jc w:val="center"/>
              <w:rPr>
                <w:b/>
                <w:sz w:val="22"/>
              </w:rPr>
            </w:pPr>
            <w:r>
              <w:rPr>
                <w:b/>
                <w:sz w:val="22"/>
              </w:rPr>
              <w:t>50</w:t>
            </w:r>
          </w:p>
        </w:tc>
        <w:tc>
          <w:tcPr>
            <w:tcW w:w="1440" w:type="dxa"/>
            <w:tcBorders/>
          </w:tcPr>
          <w:p>
            <w:pPr>
              <w:pStyle w:val="Normal"/>
              <w:jc w:val="center"/>
              <w:rPr>
                <w:sz w:val="22"/>
              </w:rPr>
            </w:pPr>
            <w:r>
              <w:rPr>
                <w:b/>
                <w:sz w:val="22"/>
              </w:rPr>
              <w:t>50</w:t>
            </w:r>
          </w:p>
        </w:tc>
      </w:tr>
      <w:tr>
        <w:trPr/>
        <w:tc>
          <w:tcPr>
            <w:tcW w:w="3024" w:type="dxa"/>
            <w:tcBorders/>
          </w:tcPr>
          <w:p>
            <w:pPr>
              <w:pStyle w:val="Normal"/>
              <w:rPr>
                <w:sz w:val="22"/>
              </w:rPr>
            </w:pPr>
            <w:r>
              <w:rPr>
                <w:sz w:val="22"/>
              </w:rPr>
              <w:t xml:space="preserve">Output (MWh) </w:t>
            </w:r>
            <w:r>
              <w:rPr>
                <w:rStyle w:val="FootnoteCharacters"/>
                <w:rStyle w:val="FootnoteReference"/>
                <w:sz w:val="22"/>
              </w:rPr>
              <w:footnoteReference w:id="7"/>
            </w:r>
          </w:p>
        </w:tc>
        <w:tc>
          <w:tcPr>
            <w:tcW w:w="1440" w:type="dxa"/>
            <w:tcBorders/>
          </w:tcPr>
          <w:p>
            <w:pPr>
              <w:pStyle w:val="Normal"/>
              <w:jc w:val="center"/>
              <w:rPr>
                <w:sz w:val="22"/>
              </w:rPr>
            </w:pPr>
            <w:r>
              <w:rPr>
                <w:sz w:val="22"/>
              </w:rPr>
              <w:t>112,347</w:t>
            </w:r>
          </w:p>
        </w:tc>
        <w:tc>
          <w:tcPr>
            <w:tcW w:w="1440" w:type="dxa"/>
            <w:tcBorders/>
          </w:tcPr>
          <w:p>
            <w:pPr>
              <w:pStyle w:val="Normal"/>
              <w:jc w:val="center"/>
              <w:rPr>
                <w:sz w:val="22"/>
              </w:rPr>
            </w:pPr>
            <w:r>
              <w:rPr>
                <w:sz w:val="22"/>
              </w:rPr>
              <w:t>341,202</w:t>
            </w:r>
          </w:p>
        </w:tc>
        <w:tc>
          <w:tcPr>
            <w:tcW w:w="1440" w:type="dxa"/>
            <w:tcBorders/>
          </w:tcPr>
          <w:p>
            <w:pPr>
              <w:pStyle w:val="Normal"/>
              <w:jc w:val="center"/>
              <w:rPr>
                <w:sz w:val="22"/>
              </w:rPr>
            </w:pPr>
            <w:r>
              <w:rPr>
                <w:sz w:val="22"/>
              </w:rPr>
              <w:t>416,100</w:t>
            </w:r>
          </w:p>
        </w:tc>
        <w:tc>
          <w:tcPr>
            <w:tcW w:w="1440" w:type="dxa"/>
            <w:tcBorders/>
          </w:tcPr>
          <w:p>
            <w:pPr>
              <w:pStyle w:val="Normal"/>
              <w:jc w:val="center"/>
              <w:rPr/>
            </w:pPr>
            <w:r>
              <w:rPr>
                <w:rFonts w:eastAsia="CG Times;Times New Roman"/>
                <w:sz w:val="22"/>
              </w:rPr>
              <w:t xml:space="preserve"> </w:t>
            </w:r>
            <w:r>
              <w:rPr>
                <w:rFonts w:eastAsia="CG Times;Times New Roman"/>
                <w:strike/>
                <w:sz w:val="22"/>
              </w:rPr>
              <w:t xml:space="preserve">     </w:t>
            </w:r>
            <w:r>
              <w:rPr>
                <w:rFonts w:eastAsia="CG Times;Times New Roman"/>
                <w:sz w:val="22"/>
              </w:rPr>
              <w:t xml:space="preserve"> </w:t>
            </w:r>
            <w:r>
              <w:rPr>
                <w:b/>
                <w:sz w:val="22"/>
              </w:rPr>
              <w:t>409,468</w:t>
            </w:r>
          </w:p>
        </w:tc>
        <w:tc>
          <w:tcPr>
            <w:tcW w:w="1440" w:type="dxa"/>
            <w:tcBorders/>
          </w:tcPr>
          <w:p>
            <w:pPr>
              <w:pStyle w:val="Normal"/>
              <w:jc w:val="center"/>
              <w:rPr>
                <w:sz w:val="22"/>
              </w:rPr>
            </w:pPr>
            <w:r>
              <w:rPr>
                <w:b/>
                <w:sz w:val="22"/>
              </w:rPr>
              <w:t>393,735</w:t>
            </w:r>
          </w:p>
        </w:tc>
      </w:tr>
      <w:tr>
        <w:trPr/>
        <w:tc>
          <w:tcPr>
            <w:tcW w:w="3024" w:type="dxa"/>
            <w:tcBorders/>
          </w:tcPr>
          <w:p>
            <w:pPr>
              <w:pStyle w:val="Normal"/>
              <w:rPr>
                <w:sz w:val="22"/>
              </w:rPr>
            </w:pPr>
            <w:r>
              <w:rPr>
                <w:sz w:val="22"/>
              </w:rPr>
              <w:t xml:space="preserve">Energy Price ($/MWh) </w:t>
            </w:r>
            <w:r>
              <w:rPr>
                <w:rStyle w:val="FootnoteCharacters"/>
                <w:rStyle w:val="FootnoteReference"/>
                <w:sz w:val="22"/>
              </w:rPr>
              <w:footnoteReference w:id="8"/>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$47.79</w:t>
            </w:r>
          </w:p>
        </w:tc>
        <w:tc>
          <w:tcPr>
            <w:tcW w:w="1440" w:type="dxa"/>
            <w:tcBorders/>
          </w:tcPr>
          <w:p>
            <w:pPr>
              <w:pStyle w:val="Normal"/>
              <w:jc w:val="center"/>
              <w:rPr>
                <w:sz w:val="22"/>
              </w:rPr>
            </w:pPr>
            <w:r>
              <w:rPr>
                <w:sz w:val="22"/>
              </w:rPr>
              <w:t>$49.13</w:t>
            </w:r>
          </w:p>
        </w:tc>
        <w:tc>
          <w:tcPr>
            <w:tcW w:w="1440" w:type="dxa"/>
            <w:tcBorders/>
          </w:tcPr>
          <w:p>
            <w:pPr>
              <w:pStyle w:val="Normal"/>
              <w:jc w:val="center"/>
              <w:rPr>
                <w:sz w:val="22"/>
              </w:rPr>
            </w:pPr>
            <w:r>
              <w:rPr>
                <w:rFonts w:eastAsia="CG Times;Times New Roman"/>
                <w:strike/>
                <w:sz w:val="22"/>
              </w:rPr>
              <w:t xml:space="preserve">     </w:t>
            </w:r>
            <w:r>
              <w:rPr>
                <w:rFonts w:eastAsia="CG Times;Times New Roman"/>
                <w:sz w:val="22"/>
              </w:rPr>
              <w:t xml:space="preserve"> </w:t>
            </w:r>
            <w:r>
              <w:rPr>
                <w:b/>
                <w:sz w:val="22"/>
              </w:rPr>
              <w:t>$50.50</w:t>
            </w:r>
          </w:p>
        </w:tc>
      </w:tr>
      <w:tr>
        <w:trPr/>
        <w:tc>
          <w:tcPr>
            <w:tcW w:w="3024" w:type="dxa"/>
            <w:tcBorders/>
          </w:tcPr>
          <w:p>
            <w:pPr>
              <w:pStyle w:val="Normal"/>
              <w:rPr>
                <w:sz w:val="22"/>
              </w:rPr>
            </w:pPr>
            <w:r>
              <w:rPr>
                <w:sz w:val="22"/>
              </w:rPr>
              <w:t xml:space="preserve">Natural Gas Price ($/mmBtu) </w:t>
            </w:r>
            <w:r>
              <w:rPr>
                <w:rStyle w:val="FootnoteCharacters"/>
                <w:rStyle w:val="FootnoteReference"/>
                <w:sz w:val="22"/>
              </w:rPr>
              <w:footnoteReference w:id="9"/>
            </w:r>
          </w:p>
        </w:tc>
        <w:tc>
          <w:tcPr>
            <w:tcW w:w="1440" w:type="dxa"/>
            <w:tcBorders/>
          </w:tcPr>
          <w:p>
            <w:pPr>
              <w:pStyle w:val="Normal"/>
              <w:jc w:val="center"/>
              <w:rPr>
                <w:sz w:val="22"/>
              </w:rPr>
            </w:pPr>
            <w:r>
              <w:rPr>
                <w:sz w:val="22"/>
              </w:rPr>
              <w:t>$4.37</w:t>
            </w:r>
          </w:p>
        </w:tc>
        <w:tc>
          <w:tcPr>
            <w:tcW w:w="1440" w:type="dxa"/>
            <w:tcBorders/>
          </w:tcPr>
          <w:p>
            <w:pPr>
              <w:pStyle w:val="Normal"/>
              <w:jc w:val="center"/>
              <w:rPr>
                <w:sz w:val="22"/>
              </w:rPr>
            </w:pPr>
            <w:r>
              <w:rPr>
                <w:sz w:val="22"/>
              </w:rPr>
              <w:t>$4.17</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$4.15</w:t>
            </w:r>
          </w:p>
        </w:tc>
        <w:tc>
          <w:tcPr>
            <w:tcW w:w="1440" w:type="dxa"/>
            <w:tcBorders/>
          </w:tcPr>
          <w:p>
            <w:pPr>
              <w:pStyle w:val="Normal"/>
              <w:jc w:val="center"/>
              <w:rPr>
                <w:sz w:val="22"/>
              </w:rPr>
            </w:pPr>
            <w:r>
              <w:rPr>
                <w:sz w:val="22"/>
              </w:rPr>
              <w:t>$4.16</w:t>
            </w:r>
          </w:p>
        </w:tc>
      </w:tr>
      <w:tr>
        <w:trPr/>
        <w:tc>
          <w:tcPr>
            <w:tcW w:w="3024" w:type="dxa"/>
            <w:tcBorders/>
          </w:tcPr>
          <w:p>
            <w:pPr>
              <w:pStyle w:val="Normal"/>
              <w:rPr>
                <w:sz w:val="22"/>
              </w:rPr>
            </w:pPr>
            <w:r>
              <w:rPr>
                <w:sz w:val="22"/>
              </w:rPr>
              <w:t>Fuel ($/MWh)</w:t>
            </w:r>
          </w:p>
        </w:tc>
        <w:tc>
          <w:tcPr>
            <w:tcW w:w="1440" w:type="dxa"/>
            <w:tcBorders/>
          </w:tcPr>
          <w:p>
            <w:pPr>
              <w:pStyle w:val="Normal"/>
              <w:jc w:val="center"/>
              <w:rPr/>
            </w:pPr>
            <w:r>
              <w:rPr>
                <w:rFonts w:eastAsia="CG Times;Times New Roman"/>
                <w:sz w:val="22"/>
              </w:rPr>
              <w:t xml:space="preserve"> </w:t>
            </w:r>
            <w:r>
              <w:rPr>
                <w:b/>
                <w:sz w:val="22"/>
              </w:rPr>
              <w:t>$32.02</w:t>
            </w:r>
          </w:p>
        </w:tc>
        <w:tc>
          <w:tcPr>
            <w:tcW w:w="1440" w:type="dxa"/>
            <w:tcBorders/>
          </w:tcPr>
          <w:p>
            <w:pPr>
              <w:pStyle w:val="Normal"/>
              <w:jc w:val="center"/>
              <w:rPr>
                <w:b/>
                <w:sz w:val="22"/>
              </w:rPr>
            </w:pPr>
            <w:r>
              <w:rPr>
                <w:b/>
                <w:sz w:val="22"/>
              </w:rPr>
              <w:t>$31.42</w:t>
            </w:r>
          </w:p>
        </w:tc>
        <w:tc>
          <w:tcPr>
            <w:tcW w:w="1440" w:type="dxa"/>
            <w:tcBorders/>
          </w:tcPr>
          <w:p>
            <w:pPr>
              <w:pStyle w:val="Normal"/>
              <w:jc w:val="center"/>
              <w:rPr>
                <w:b/>
                <w:sz w:val="22"/>
              </w:rPr>
            </w:pPr>
            <w:r>
              <w:rPr>
                <w:b/>
                <w:sz w:val="22"/>
              </w:rPr>
              <w:t>$32.54</w:t>
            </w:r>
          </w:p>
        </w:tc>
        <w:tc>
          <w:tcPr>
            <w:tcW w:w="1440" w:type="dxa"/>
            <w:tcBorders/>
          </w:tcPr>
          <w:p>
            <w:pPr>
              <w:pStyle w:val="Normal"/>
              <w:jc w:val="center"/>
              <w:rPr>
                <w:b/>
                <w:sz w:val="22"/>
              </w:rPr>
            </w:pPr>
            <w:r>
              <w:rPr>
                <w:b/>
                <w:sz w:val="22"/>
              </w:rPr>
              <w:t>$33.28</w:t>
            </w:r>
          </w:p>
        </w:tc>
        <w:tc>
          <w:tcPr>
            <w:tcW w:w="1440" w:type="dxa"/>
            <w:tcBorders/>
          </w:tcPr>
          <w:p>
            <w:pPr>
              <w:pStyle w:val="Normal"/>
              <w:jc w:val="center"/>
              <w:rPr>
                <w:b/>
                <w:sz w:val="22"/>
              </w:rPr>
            </w:pPr>
            <w:r>
              <w:rPr>
                <w:b/>
                <w:sz w:val="22"/>
              </w:rPr>
              <w:t>$33.65</w:t>
            </w:r>
          </w:p>
        </w:tc>
      </w:tr>
      <w:tr>
        <w:trPr/>
        <w:tc>
          <w:tcPr>
            <w:tcW w:w="3024" w:type="dxa"/>
            <w:tcBorders/>
          </w:tcPr>
          <w:p>
            <w:pPr>
              <w:pStyle w:val="Normal"/>
              <w:snapToGrid w:val="false"/>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r>
      <w:tr>
        <w:trPr/>
        <w:tc>
          <w:tcPr>
            <w:tcW w:w="3024" w:type="dxa"/>
            <w:tcBorders/>
          </w:tcPr>
          <w:p>
            <w:pPr>
              <w:pStyle w:val="Normal"/>
              <w:rPr>
                <w:b/>
                <w:sz w:val="22"/>
              </w:rPr>
            </w:pPr>
            <w:r>
              <w:rPr>
                <w:b/>
                <w:sz w:val="22"/>
              </w:rPr>
              <w:t>Financial Forecast:</w:t>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r>
      <w:tr>
        <w:trPr/>
        <w:tc>
          <w:tcPr>
            <w:tcW w:w="3024" w:type="dxa"/>
            <w:tcBorders/>
          </w:tcPr>
          <w:p>
            <w:pPr>
              <w:pStyle w:val="Normal"/>
              <w:rPr>
                <w:b/>
                <w:sz w:val="22"/>
              </w:rPr>
            </w:pPr>
            <w:r>
              <w:rPr>
                <w:b/>
                <w:sz w:val="22"/>
              </w:rPr>
              <w:t>Total Operating Revenue</w:t>
            </w:r>
          </w:p>
        </w:tc>
        <w:tc>
          <w:tcPr>
            <w:tcW w:w="1440" w:type="dxa"/>
            <w:tcBorders/>
          </w:tcPr>
          <w:p>
            <w:pPr>
              <w:pStyle w:val="Normal"/>
              <w:jc w:val="center"/>
              <w:rPr>
                <w:b/>
                <w:sz w:val="22"/>
              </w:rPr>
            </w:pPr>
            <w:r>
              <w:rPr>
                <w:b/>
                <w:sz w:val="22"/>
              </w:rPr>
              <w:t>$5,369,063</w:t>
            </w:r>
          </w:p>
        </w:tc>
        <w:tc>
          <w:tcPr>
            <w:tcW w:w="1440" w:type="dxa"/>
            <w:tcBorders/>
          </w:tcPr>
          <w:p>
            <w:pPr>
              <w:pStyle w:val="Normal"/>
              <w:jc w:val="center"/>
              <w:rPr>
                <w:b/>
                <w:sz w:val="22"/>
              </w:rPr>
            </w:pPr>
            <w:r>
              <w:rPr>
                <w:b/>
                <w:sz w:val="22"/>
              </w:rPr>
              <w:t>$16,306,044</w:t>
            </w:r>
          </w:p>
        </w:tc>
        <w:tc>
          <w:tcPr>
            <w:tcW w:w="1440" w:type="dxa"/>
            <w:tcBorders/>
          </w:tcPr>
          <w:p>
            <w:pPr>
              <w:pStyle w:val="Normal"/>
              <w:jc w:val="center"/>
              <w:rPr>
                <w:b/>
                <w:sz w:val="22"/>
              </w:rPr>
            </w:pPr>
            <w:r>
              <w:rPr>
                <w:b/>
                <w:sz w:val="22"/>
              </w:rPr>
              <w:t>$19,885,419</w:t>
            </w:r>
          </w:p>
        </w:tc>
        <w:tc>
          <w:tcPr>
            <w:tcW w:w="1440" w:type="dxa"/>
            <w:tcBorders/>
          </w:tcPr>
          <w:p>
            <w:pPr>
              <w:pStyle w:val="Normal"/>
              <w:jc w:val="center"/>
              <w:rPr>
                <w:b/>
                <w:sz w:val="22"/>
              </w:rPr>
            </w:pPr>
            <w:r>
              <w:rPr>
                <w:b/>
                <w:sz w:val="22"/>
              </w:rPr>
              <w:t>$20,117,173</w:t>
            </w:r>
          </w:p>
        </w:tc>
        <w:tc>
          <w:tcPr>
            <w:tcW w:w="1440" w:type="dxa"/>
            <w:tcBorders/>
          </w:tcPr>
          <w:p>
            <w:pPr>
              <w:pStyle w:val="Normal"/>
              <w:jc w:val="center"/>
              <w:rPr>
                <w:b/>
                <w:sz w:val="22"/>
              </w:rPr>
            </w:pPr>
            <w:r>
              <w:rPr>
                <w:b/>
                <w:sz w:val="22"/>
              </w:rPr>
              <w:t>$19,883,599</w:t>
            </w:r>
          </w:p>
        </w:tc>
      </w:tr>
      <w:tr>
        <w:trPr/>
        <w:tc>
          <w:tcPr>
            <w:tcW w:w="3024" w:type="dxa"/>
            <w:tcBorders/>
          </w:tcPr>
          <w:p>
            <w:pPr>
              <w:pStyle w:val="Normal"/>
              <w:snapToGrid w:val="false"/>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r>
      <w:tr>
        <w:trPr/>
        <w:tc>
          <w:tcPr>
            <w:tcW w:w="3024" w:type="dxa"/>
            <w:tcBorders/>
          </w:tcPr>
          <w:p>
            <w:pPr>
              <w:pStyle w:val="Heading1"/>
              <w:ind w:hanging="0" w:start="0"/>
              <w:rPr>
                <w:b/>
              </w:rPr>
            </w:pPr>
            <w:r>
              <w:rPr>
                <w:b/>
              </w:rPr>
              <w:t>Expenses</w:t>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r>
      <w:tr>
        <w:trPr/>
        <w:tc>
          <w:tcPr>
            <w:tcW w:w="3024" w:type="dxa"/>
            <w:tcBorders/>
          </w:tcPr>
          <w:p>
            <w:pPr>
              <w:pStyle w:val="Normal"/>
              <w:rPr>
                <w:b/>
                <w:sz w:val="22"/>
              </w:rPr>
            </w:pPr>
            <w:r>
              <w:rPr>
                <w:b/>
                <w:sz w:val="22"/>
              </w:rPr>
              <w:t>Total Fuel Expense</w:t>
            </w:r>
          </w:p>
        </w:tc>
        <w:tc>
          <w:tcPr>
            <w:tcW w:w="1440" w:type="dxa"/>
            <w:tcBorders/>
          </w:tcPr>
          <w:p>
            <w:pPr>
              <w:pStyle w:val="Normal"/>
              <w:jc w:val="center"/>
              <w:rPr>
                <w:b/>
                <w:sz w:val="22"/>
              </w:rPr>
            </w:pPr>
            <w:r>
              <w:rPr>
                <w:b/>
                <w:sz w:val="22"/>
              </w:rPr>
              <w:t>$3,597,237</w:t>
            </w:r>
          </w:p>
        </w:tc>
        <w:tc>
          <w:tcPr>
            <w:tcW w:w="1440" w:type="dxa"/>
            <w:tcBorders/>
          </w:tcPr>
          <w:p>
            <w:pPr>
              <w:pStyle w:val="Normal"/>
              <w:jc w:val="center"/>
              <w:rPr>
                <w:b/>
                <w:sz w:val="22"/>
              </w:rPr>
            </w:pPr>
            <w:r>
              <w:rPr>
                <w:b/>
                <w:sz w:val="22"/>
              </w:rPr>
              <w:t>$10,720,931</w:t>
            </w:r>
          </w:p>
        </w:tc>
        <w:tc>
          <w:tcPr>
            <w:tcW w:w="1440" w:type="dxa"/>
            <w:tcBorders/>
          </w:tcPr>
          <w:p>
            <w:pPr>
              <w:pStyle w:val="Normal"/>
              <w:jc w:val="center"/>
              <w:rPr>
                <w:b/>
                <w:sz w:val="22"/>
              </w:rPr>
            </w:pPr>
            <w:r>
              <w:rPr>
                <w:b/>
                <w:sz w:val="22"/>
              </w:rPr>
              <w:t>$13,541,203</w:t>
            </w:r>
          </w:p>
        </w:tc>
        <w:tc>
          <w:tcPr>
            <w:tcW w:w="1440" w:type="dxa"/>
            <w:tcBorders/>
          </w:tcPr>
          <w:p>
            <w:pPr>
              <w:pStyle w:val="Normal"/>
              <w:jc w:val="center"/>
              <w:rPr>
                <w:b/>
                <w:sz w:val="22"/>
              </w:rPr>
            </w:pPr>
            <w:r>
              <w:rPr>
                <w:b/>
                <w:sz w:val="22"/>
              </w:rPr>
              <w:t>$13,625,445</w:t>
            </w:r>
          </w:p>
        </w:tc>
        <w:tc>
          <w:tcPr>
            <w:tcW w:w="1440" w:type="dxa"/>
            <w:tcBorders/>
          </w:tcPr>
          <w:p>
            <w:pPr>
              <w:pStyle w:val="Normal"/>
              <w:jc w:val="center"/>
              <w:rPr>
                <w:sz w:val="22"/>
              </w:rPr>
            </w:pPr>
            <w:r>
              <w:rPr>
                <w:b/>
                <w:sz w:val="22"/>
              </w:rPr>
              <w:t>$13,249,278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 xml:space="preserve">Variable O&amp;M </w:t>
            </w:r>
            <w:r>
              <w:rPr>
                <w:rStyle w:val="FootnoteCharacters"/>
                <w:rStyle w:val="FootnoteReference"/>
                <w:sz w:val="22"/>
              </w:rPr>
              <w:footnoteReference w:id="10"/>
            </w:r>
          </w:p>
        </w:tc>
        <w:tc>
          <w:tcPr>
            <w:tcW w:w="1440" w:type="dxa"/>
            <w:tcBorders/>
          </w:tcPr>
          <w:p>
            <w:pPr>
              <w:pStyle w:val="Normal"/>
              <w:jc w:val="center"/>
              <w:rPr>
                <w:sz w:val="22"/>
              </w:rPr>
            </w:pPr>
            <w:r>
              <w:rPr>
                <w:sz w:val="22"/>
              </w:rPr>
              <w:t>$452,250</w:t>
            </w:r>
          </w:p>
        </w:tc>
        <w:tc>
          <w:tcPr>
            <w:tcW w:w="1440" w:type="dxa"/>
            <w:tcBorders/>
          </w:tcPr>
          <w:p>
            <w:pPr>
              <w:pStyle w:val="Normal"/>
              <w:jc w:val="center"/>
              <w:rPr>
                <w:sz w:val="22"/>
              </w:rPr>
            </w:pPr>
            <w:r>
              <w:rPr>
                <w:sz w:val="22"/>
              </w:rPr>
              <w:t>$1,675,000</w:t>
            </w:r>
          </w:p>
        </w:tc>
        <w:tc>
          <w:tcPr>
            <w:tcW w:w="1440" w:type="dxa"/>
            <w:tcBorders/>
          </w:tcPr>
          <w:p>
            <w:pPr>
              <w:pStyle w:val="Normal"/>
              <w:jc w:val="center"/>
              <w:rPr>
                <w:sz w:val="22"/>
              </w:rPr>
            </w:pPr>
            <w:r>
              <w:rPr>
                <w:sz w:val="22"/>
              </w:rPr>
              <w:t>$1,675,000</w:t>
            </w:r>
          </w:p>
        </w:tc>
        <w:tc>
          <w:tcPr>
            <w:tcW w:w="1440" w:type="dxa"/>
            <w:tcBorders/>
          </w:tcPr>
          <w:p>
            <w:pPr>
              <w:pStyle w:val="Normal"/>
              <w:jc w:val="center"/>
              <w:rPr/>
            </w:pPr>
            <w:r>
              <w:rPr>
                <w:rFonts w:eastAsia="CG Times;Times New Roman"/>
                <w:sz w:val="22"/>
              </w:rPr>
              <w:t xml:space="preserve"> </w:t>
            </w:r>
            <w:r>
              <w:rPr>
                <w:b/>
                <w:sz w:val="22"/>
              </w:rPr>
              <w:t>$1,675,000</w:t>
            </w:r>
          </w:p>
        </w:tc>
        <w:tc>
          <w:tcPr>
            <w:tcW w:w="1440" w:type="dxa"/>
            <w:tcBorders/>
          </w:tcPr>
          <w:p>
            <w:pPr>
              <w:pStyle w:val="Normal"/>
              <w:jc w:val="center"/>
              <w:rPr>
                <w:sz w:val="22"/>
              </w:rPr>
            </w:pPr>
            <w:r>
              <w:rPr>
                <w:b/>
                <w:sz w:val="22"/>
              </w:rPr>
              <w:t>$1,675,000</w:t>
            </w:r>
          </w:p>
        </w:tc>
      </w:tr>
      <w:tr>
        <w:trPr/>
        <w:tc>
          <w:tcPr>
            <w:tcW w:w="3024" w:type="dxa"/>
            <w:tcBorders/>
          </w:tcPr>
          <w:p>
            <w:pPr>
              <w:pStyle w:val="Heading1"/>
              <w:ind w:hanging="0" w:start="0"/>
              <w:rPr/>
            </w:pPr>
            <w:r>
              <w:rPr/>
              <w:t xml:space="preserve">Fixed O&amp;M </w:t>
            </w:r>
            <w:r>
              <w:rPr>
                <w:rStyle w:val="FootnoteCharacters"/>
                <w:rStyle w:val="FootnoteReference"/>
              </w:rPr>
              <w:footnoteReference w:id="11"/>
            </w:r>
          </w:p>
        </w:tc>
        <w:tc>
          <w:tcPr>
            <w:tcW w:w="1440" w:type="dxa"/>
            <w:tcBorders/>
          </w:tcPr>
          <w:p>
            <w:pPr>
              <w:pStyle w:val="Normal"/>
              <w:pBdr>
                <w:bottom w:val="single" w:sz="6" w:space="1" w:color="000000"/>
              </w:pBdr>
              <w:jc w:val="center"/>
              <w:rPr>
                <w:sz w:val="22"/>
              </w:rPr>
            </w:pPr>
            <w:r>
              <w:rPr>
                <w:sz w:val="22"/>
              </w:rPr>
              <w:t>$650,000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sz w:val="22"/>
              </w:rPr>
            </w:pPr>
            <w:r>
              <w:rPr>
                <w:sz w:val="22"/>
              </w:rPr>
              <w:t>$1,250,000</w:t>
            </w:r>
          </w:p>
        </w:tc>
        <w:tc>
          <w:tcPr>
            <w:tcW w:w="1440" w:type="dxa"/>
            <w:tcBorders/>
          </w:tcPr>
          <w:p>
            <w:pPr>
              <w:pStyle w:val="Normal"/>
              <w:pBdr>
                <w:bottom w:val="single" w:sz="6" w:space="1" w:color="000000"/>
              </w:pBdr>
              <w:jc w:val="center"/>
              <w:rPr/>
            </w:pPr>
            <w:r>
              <w:rPr>
                <w:rFonts w:eastAsia="CG Times;Times New Roman"/>
                <w:sz w:val="22"/>
              </w:rPr>
              <w:t xml:space="preserve"> </w:t>
            </w:r>
            <w:r>
              <w:rPr>
                <w:b/>
                <w:sz w:val="22"/>
              </w:rPr>
              <w:t>$1,250,000</w:t>
            </w:r>
          </w:p>
        </w:tc>
        <w:tc>
          <w:tcPr>
            <w:tcW w:w="1440" w:type="dxa"/>
            <w:tcBorders/>
          </w:tcPr>
          <w:p>
            <w:pPr>
              <w:pStyle w:val="Normal"/>
              <w:pBdr>
                <w:bottom w:val="single" w:sz="6" w:space="1" w:color="000000"/>
              </w:pBdr>
              <w:jc w:val="center"/>
              <w:rPr>
                <w:sz w:val="22"/>
              </w:rPr>
            </w:pPr>
            <w:r>
              <w:rPr>
                <w:b/>
                <w:sz w:val="22"/>
              </w:rPr>
              <w:t>$1,250,000</w:t>
            </w:r>
          </w:p>
        </w:tc>
      </w:tr>
      <w:tr>
        <w:trPr/>
        <w:tc>
          <w:tcPr>
            <w:tcW w:w="3024" w:type="dxa"/>
            <w:tcBorders/>
          </w:tcPr>
          <w:p>
            <w:pPr>
              <w:pStyle w:val="Normal"/>
              <w:rPr>
                <w:sz w:val="22"/>
              </w:rPr>
            </w:pPr>
            <w:r>
              <w:rPr>
                <w:sz w:val="22"/>
              </w:rPr>
              <w:t>Total Operating Expenses</w:t>
            </w:r>
          </w:p>
        </w:tc>
        <w:tc>
          <w:tcPr>
            <w:tcW w:w="1440" w:type="dxa"/>
            <w:tcBorders/>
          </w:tcPr>
          <w:p>
            <w:pPr>
              <w:pStyle w:val="Normal"/>
              <w:jc w:val="center"/>
              <w:rPr/>
            </w:pPr>
            <w:r>
              <w:rPr>
                <w:rFonts w:eastAsia="CG Times;Times New Roman"/>
                <w:sz w:val="22"/>
              </w:rPr>
              <w:t xml:space="preserve">  </w:t>
            </w:r>
            <w:r>
              <w:rPr>
                <w:b/>
                <w:sz w:val="22"/>
              </w:rPr>
              <w:t>$4,699,487</w:t>
            </w:r>
          </w:p>
        </w:tc>
        <w:tc>
          <w:tcPr>
            <w:tcW w:w="1440" w:type="dxa"/>
            <w:tcBorders/>
          </w:tcPr>
          <w:p>
            <w:pPr>
              <w:pStyle w:val="Normal"/>
              <w:jc w:val="center"/>
              <w:rPr>
                <w:b/>
                <w:sz w:val="22"/>
              </w:rPr>
            </w:pPr>
            <w:r>
              <w:rPr>
                <w:b/>
                <w:sz w:val="22"/>
              </w:rPr>
              <w:t>$13,645,931</w:t>
            </w:r>
          </w:p>
        </w:tc>
        <w:tc>
          <w:tcPr>
            <w:tcW w:w="1440" w:type="dxa"/>
            <w:tcBorders/>
          </w:tcPr>
          <w:p>
            <w:pPr>
              <w:pStyle w:val="Normal"/>
              <w:jc w:val="center"/>
              <w:rPr>
                <w:b/>
                <w:sz w:val="22"/>
              </w:rPr>
            </w:pPr>
            <w:r>
              <w:rPr>
                <w:b/>
                <w:sz w:val="22"/>
              </w:rPr>
              <w:t>16,466,203</w:t>
            </w:r>
          </w:p>
        </w:tc>
        <w:tc>
          <w:tcPr>
            <w:tcW w:w="1440" w:type="dxa"/>
            <w:tcBorders/>
          </w:tcPr>
          <w:p>
            <w:pPr>
              <w:pStyle w:val="Normal"/>
              <w:jc w:val="center"/>
              <w:rPr>
                <w:b/>
                <w:sz w:val="22"/>
              </w:rPr>
            </w:pPr>
            <w:r>
              <w:rPr>
                <w:b/>
                <w:sz w:val="22"/>
              </w:rPr>
              <w:t>16,550,445</w:t>
            </w:r>
          </w:p>
        </w:tc>
        <w:tc>
          <w:tcPr>
            <w:tcW w:w="1440" w:type="dxa"/>
            <w:tcBorders/>
          </w:tcPr>
          <w:p>
            <w:pPr>
              <w:pStyle w:val="Normal"/>
              <w:jc w:val="center"/>
              <w:rPr>
                <w:sz w:val="22"/>
              </w:rPr>
            </w:pPr>
            <w:r>
              <w:rPr>
                <w:b/>
                <w:sz w:val="22"/>
              </w:rPr>
              <w:t>16,174,278</w:t>
            </w:r>
          </w:p>
        </w:tc>
      </w:tr>
      <w:tr>
        <w:trPr/>
        <w:tc>
          <w:tcPr>
            <w:tcW w:w="3024"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r>
      <w:tr>
        <w:trPr/>
        <w:tc>
          <w:tcPr>
            <w:tcW w:w="3024" w:type="dxa"/>
            <w:tcBorders/>
          </w:tcPr>
          <w:p>
            <w:pPr>
              <w:pStyle w:val="Normal"/>
              <w:rPr>
                <w:sz w:val="22"/>
              </w:rPr>
            </w:pPr>
            <w:r>
              <w:rPr>
                <w:sz w:val="22"/>
              </w:rPr>
              <w:t>Earnings from Operations</w:t>
            </w:r>
          </w:p>
        </w:tc>
        <w:tc>
          <w:tcPr>
            <w:tcW w:w="1440" w:type="dxa"/>
            <w:tcBorders/>
          </w:tcPr>
          <w:p>
            <w:pPr>
              <w:pStyle w:val="Normal"/>
              <w:jc w:val="center"/>
              <w:rPr>
                <w:b/>
                <w:sz w:val="22"/>
              </w:rPr>
            </w:pPr>
            <w:r>
              <w:rPr>
                <w:b/>
                <w:sz w:val="22"/>
              </w:rPr>
              <w:t>$669,576</w:t>
            </w:r>
          </w:p>
        </w:tc>
        <w:tc>
          <w:tcPr>
            <w:tcW w:w="1440" w:type="dxa"/>
            <w:tcBorders/>
          </w:tcPr>
          <w:p>
            <w:pPr>
              <w:pStyle w:val="Normal"/>
              <w:jc w:val="center"/>
              <w:rPr>
                <w:b/>
                <w:sz w:val="22"/>
              </w:rPr>
            </w:pPr>
            <w:r>
              <w:rPr>
                <w:b/>
                <w:sz w:val="22"/>
              </w:rPr>
              <w:t>$2,660,112</w:t>
            </w:r>
          </w:p>
        </w:tc>
        <w:tc>
          <w:tcPr>
            <w:tcW w:w="1440" w:type="dxa"/>
            <w:tcBorders/>
          </w:tcPr>
          <w:p>
            <w:pPr>
              <w:pStyle w:val="Normal"/>
              <w:jc w:val="center"/>
              <w:rPr>
                <w:b/>
                <w:sz w:val="22"/>
              </w:rPr>
            </w:pPr>
            <w:r>
              <w:rPr>
                <w:b/>
                <w:sz w:val="22"/>
              </w:rPr>
              <w:t>$3,419,216</w:t>
            </w:r>
          </w:p>
        </w:tc>
        <w:tc>
          <w:tcPr>
            <w:tcW w:w="1440" w:type="dxa"/>
            <w:tcBorders/>
          </w:tcPr>
          <w:p>
            <w:pPr>
              <w:pStyle w:val="Normal"/>
              <w:jc w:val="center"/>
              <w:rPr>
                <w:b/>
                <w:sz w:val="22"/>
              </w:rPr>
            </w:pPr>
            <w:r>
              <w:rPr>
                <w:b/>
                <w:sz w:val="22"/>
              </w:rPr>
              <w:t>$3,566,727</w:t>
            </w:r>
          </w:p>
        </w:tc>
        <w:tc>
          <w:tcPr>
            <w:tcW w:w="1440" w:type="dxa"/>
            <w:tcBorders/>
          </w:tcPr>
          <w:p>
            <w:pPr>
              <w:pStyle w:val="Normal"/>
              <w:jc w:val="center"/>
              <w:rPr>
                <w:b/>
                <w:sz w:val="22"/>
              </w:rPr>
            </w:pPr>
            <w:r>
              <w:rPr>
                <w:b/>
                <w:sz w:val="22"/>
              </w:rPr>
              <w:t>$3,709,321</w:t>
            </w:r>
          </w:p>
        </w:tc>
      </w:tr>
      <w:tr>
        <w:trPr/>
        <w:tc>
          <w:tcPr>
            <w:tcW w:w="3024" w:type="dxa"/>
            <w:tcBorders/>
          </w:tcPr>
          <w:p>
            <w:pPr>
              <w:pStyle w:val="Normal"/>
              <w:snapToGrid w:val="false"/>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c>
          <w:tcPr>
            <w:tcW w:w="1440" w:type="dxa"/>
            <w:tcBorders/>
          </w:tcPr>
          <w:p>
            <w:pPr>
              <w:pStyle w:val="Normal"/>
              <w:snapToGrid w:val="false"/>
              <w:jc w:val="center"/>
              <w:rPr>
                <w:b/>
                <w:sz w:val="22"/>
              </w:rPr>
            </w:pPr>
            <w:r>
              <w:rPr>
                <w:b/>
                <w:sz w:val="22"/>
              </w:rPr>
            </w:r>
          </w:p>
        </w:tc>
      </w:tr>
    </w:tbl>
    <w:p>
      <w:pPr>
        <w:pStyle w:val="Normal"/>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sz w:val="22"/>
        </w:rPr>
      </w:pPr>
      <w:r>
        <w:rPr>
          <w:sz w:val="22"/>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COMPARISON OF FOOTNOTES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Fonts w:eastAsia="CG Times;Times New Roman"/>
        </w:rPr>
        <w:t xml:space="preserve"> </w:t>
      </w:r>
      <w:r>
        <w:rPr/>
        <w:t xml:space="preserve">Indeed, it was a combination of environmental and energy policies that led to the creation of CRRA nearly 30 years ago to combat the environmentally debilitating practice of land-filling raw municipal solid waste while at the same time creating a native source of electricity.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rPr>
      </w:pPr>
      <w:r>
        <w:rPr>
          <w:b/>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Conn. Gen. Stat. § 16-1(26) includes a fuel cell in the definition of a "Class I renewable energy source".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3-</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Conn. Gen. Stat. § 16a-35k states in pertinent part: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Therefore, the General Assembly declares that it is the policy of the state of Connecticut to (1)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(9) when available energy alternatives are equivalent, give preference for capacity additions first to conservation and load management.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(emphasis added).</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4-</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affect of conservation and load management programs).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5-</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u w:val="single"/>
        </w:rPr>
        <w:t>See</w:t>
      </w:r>
      <w:r>
        <w:rPr/>
        <w:t>, e.g., Conn. Gen. Stat. § 16-50k (expedited Siting Council permitting procedures for fuel cells provided under certain</w:t>
      </w:r>
      <w:r>
        <w:rPr>
          <w:b/>
        </w:rPr>
        <w:t xml:space="preserve"> </w:t>
      </w:r>
      <w:r>
        <w:rPr/>
        <w:t xml:space="preserve">circumstances.)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6-</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Assumes a 95% availability factor FuelCell Energy forecasted degradation.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7-</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Blended average Standard Offer Service rate for Connecticut Light &amp; Power and The United Illuminating Company.</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8-</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b/>
        </w:rPr>
      </w:pPr>
      <w:r>
        <w:rPr/>
        <w:t>Blended forward prices for Algonquin Gas Transmission and Tennessee Gas Pipeline.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9-</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Based on variable O&amp;M assumptions of $33,500 per MW per full year of operation.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-FOOTNOTE 10-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 xml:space="preserve">Based on fixed O&amp;M assumptions of $25,000 per MW per full year of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end="1260"/>
        <w:rPr/>
      </w:pPr>
      <w:r>
        <w:rPr/>
        <w:t>operation.</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Omeg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#506961v2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t xml:space="preserve">Indeed, it was a combination of environmental and energy policies that led to the creation of CRRA nearly 30 years ago to combat the environmentally debilitating practice of land-filling raw municipal solid waste while at the same time creating a native source of electricity.  </w:t>
      </w:r>
    </w:p>
  </w:footnote>
  <w:footnote w:id="3">
    <w:p>
      <w:pPr>
        <w:pStyle w:val="FootnoteText"/>
        <w:spacing w:before="0" w:after="240"/>
        <w:ind w:hanging="720" w:start="720" w:end="0"/>
        <w:rPr/>
      </w:pPr>
      <w:r>
        <w:rPr>
          <w:rStyle w:val="FootnoteCharacters"/>
        </w:rPr>
        <w:footnoteRef/>
      </w:r>
      <w:r>
        <w:rPr/>
        <w:t xml:space="preserve"> </w:t>
      </w:r>
      <w:r>
        <w:rPr/>
        <w:tab/>
        <w:t>Conn. Gen. Stat. § 16-1(26) defines a "Class I renewable energy source" to include fuel cells.</w:t>
      </w:r>
    </w:p>
  </w:footnote>
  <w:footnote w:id="4">
    <w:p>
      <w:pPr>
        <w:pStyle w:val="FootnoteText"/>
        <w:rPr/>
      </w:pPr>
      <w:r>
        <w:rPr>
          <w:rStyle w:val="FootnoteCharacters"/>
        </w:rPr>
        <w:footnoteRef/>
      </w:r>
      <w:r>
        <w:rPr/>
        <w:t xml:space="preserve"> </w:t>
      </w:r>
      <w:r>
        <w:rPr/>
        <w:tab/>
        <w:t>Conn. Gen. Stat. § 16a-35k states in pertinent part:</w:t>
      </w:r>
    </w:p>
    <w:p>
      <w:pPr>
        <w:pStyle w:val="FootnoteText"/>
        <w:rPr/>
      </w:pPr>
      <w:r>
        <w:rPr/>
        <w:tab/>
        <w:t>Therefore, the General Assembly declares that it is the policy of the state of Connecticut to (1)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(9) when available energy alternatives are equivalent, give preference for capacity additions first to conservation and load management.</w:t>
      </w:r>
    </w:p>
    <w:p>
      <w:pPr>
        <w:pStyle w:val="FootnoteText"/>
        <w:spacing w:before="0" w:after="240"/>
        <w:ind w:hanging="720" w:start="720" w:end="0"/>
        <w:rPr/>
      </w:pPr>
      <w:r>
        <w:rPr/>
        <w:t>(emphasis added).</w:t>
      </w:r>
    </w:p>
  </w:footnote>
  <w:footnote w:id="5">
    <w:p>
      <w:pPr>
        <w:pStyle w:val="FootnoteText"/>
        <w:rPr/>
      </w:pPr>
      <w:r>
        <w:rPr>
          <w:rStyle w:val="FootnoteCharacters"/>
        </w:rPr>
        <w:footnoteRef/>
      </w:r>
      <w:r>
        <w:rPr/>
        <w:t xml:space="preserve"> </w:t>
      </w:r>
      <w:r>
        <w:rPr/>
        <w:tab/>
        <w:t xml:space="preserve">The Department has been granted broad powers by the legislature to promote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the affect of conservation and load management programs).  </w:t>
      </w:r>
    </w:p>
    <w:p>
      <w:pPr>
        <w:pStyle w:val="FootnoteText"/>
        <w:spacing w:before="0" w:after="240"/>
        <w:ind w:hanging="720" w:start="720" w:end="0"/>
        <w:rPr/>
      </w:pPr>
      <w:r>
        <w:rPr/>
      </w:r>
    </w:p>
  </w:footnote>
  <w:footnote w:id="6">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w:t>
      </w:r>
      <w:r>
        <w:rPr>
          <w:u w:val="single"/>
        </w:rPr>
        <w:t>e.g.</w:t>
      </w:r>
      <w:r>
        <w:rPr/>
        <w:t>, Conn. Gen. Stat. § 16-50k (expedited Siting Council permitting procedures for fuel cells provided under certain circumstances.)</w:t>
      </w:r>
    </w:p>
  </w:footnote>
  <w:footnote w:id="7">
    <w:p>
      <w:pPr>
        <w:pStyle w:val="FootnoteText"/>
        <w:spacing w:before="0" w:after="240"/>
        <w:ind w:hanging="720" w:start="720" w:end="0"/>
        <w:rPr/>
      </w:pPr>
      <w:r>
        <w:rPr>
          <w:rStyle w:val="FootnoteCharacters"/>
        </w:rPr>
        <w:footnoteRef/>
      </w:r>
      <w:r>
        <w:rPr/>
        <w:t xml:space="preserve"> </w:t>
      </w:r>
      <w:r>
        <w:rPr/>
        <w:t>Assumes a 95% availability factor and FuelCell Energy forecasted degradation.</w:t>
      </w:r>
    </w:p>
  </w:footnote>
  <w:footnote w:id="8">
    <w:p>
      <w:pPr>
        <w:pStyle w:val="FootnoteText"/>
        <w:spacing w:before="0" w:after="240"/>
        <w:ind w:hanging="720" w:start="720" w:end="0"/>
        <w:rPr/>
      </w:pPr>
      <w:r>
        <w:rPr>
          <w:rStyle w:val="FootnoteCharacters"/>
        </w:rPr>
        <w:footnoteRef/>
      </w:r>
      <w:r>
        <w:rPr/>
        <w:t xml:space="preserve"> </w:t>
      </w:r>
      <w:r>
        <w:rPr/>
        <w:t>Blended average Standard Offer Service rate for Connecticut Light &amp; Power and The United Illuminating Company.</w:t>
      </w:r>
    </w:p>
  </w:footnote>
  <w:footnote w:id="9">
    <w:p>
      <w:pPr>
        <w:pStyle w:val="FootnoteText"/>
        <w:spacing w:before="0" w:after="240"/>
        <w:ind w:hanging="720" w:start="720" w:end="0"/>
        <w:rPr/>
      </w:pPr>
      <w:r>
        <w:rPr>
          <w:rStyle w:val="FootnoteCharacters"/>
        </w:rPr>
        <w:footnoteRef/>
      </w:r>
      <w:r>
        <w:rPr/>
        <w:t xml:space="preserve"> </w:t>
      </w:r>
      <w:r>
        <w:rPr/>
        <w:t>Blended forward prices for Algonquin Gas Transmission and Tennessee Gas Pipeline.</w:t>
      </w:r>
    </w:p>
  </w:footnote>
  <w:footnote w:id="10">
    <w:p>
      <w:pPr>
        <w:pStyle w:val="FootnoteText"/>
        <w:spacing w:before="0" w:after="240"/>
        <w:ind w:hanging="720" w:start="720" w:end="0"/>
        <w:rPr/>
      </w:pPr>
      <w:r>
        <w:rPr>
          <w:rStyle w:val="FootnoteCharacters"/>
        </w:rPr>
        <w:footnoteRef/>
      </w:r>
      <w:r>
        <w:rPr/>
        <w:t xml:space="preserve"> </w:t>
      </w:r>
      <w:r>
        <w:rPr/>
        <w:t>Based on variable O&amp;M assumptions of $33,500 per MW per full year of operation.</w:t>
      </w:r>
    </w:p>
  </w:footnote>
  <w:footnote w:id="11">
    <w:p>
      <w:pPr>
        <w:pStyle w:val="FootnoteText"/>
        <w:spacing w:before="0" w:after="240"/>
        <w:ind w:hanging="720" w:start="720" w:end="0"/>
        <w:rPr/>
      </w:pPr>
      <w:r>
        <w:rPr>
          <w:rStyle w:val="FootnoteCharacters"/>
        </w:rPr>
        <w:footnoteRef/>
      </w:r>
      <w:r>
        <w:rPr/>
        <w:t xml:space="preserve"> </w:t>
      </w:r>
      <w:r>
        <w:rPr/>
        <w:t>Based on fixed O&amp;M assumptions of $25,000 per MW per full year of operation.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9360" w:leader="none"/>
      </w:tabs>
      <w:rPr/>
    </w:pPr>
    <w:r>
      <w:rPr/>
      <w:tab/>
      <w:tab/>
      <w:tab/>
      <w:tab/>
      <w:tab/>
      <w:tab/>
      <w:tab/>
      <w:tab/>
      <w:tab/>
      <w:t xml:space="preserve">DRAFT - BRFG </w:t>
    </w:r>
    <w:r>
      <w:rPr/>
      <w:fldChar w:fldCharType="begin"/>
    </w:r>
    <w:r>
      <w:rPr/>
      <w:instrText xml:space="preserve"> DATE \@"M\/d'/Y'" </w:instrText>
    </w:r>
    <w:r>
      <w:rPr/>
      <w:fldChar w:fldCharType="separate"/>
    </w:r>
    <w:r>
      <w:rPr/>
      <w:t>9/28/Y</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9360" w:leader="none"/>
      </w:tabs>
      <w:rPr/>
    </w:pPr>
    <w:r>
      <w:rPr/>
      <w:tab/>
      <w:tab/>
      <w:tab/>
      <w:tab/>
      <w:tab/>
      <w:tab/>
      <w:tab/>
      <w:tab/>
      <w:tab/>
      <w:t xml:space="preserve">DRAFT - BRFG </w:t>
    </w:r>
    <w:r>
      <w:rPr/>
      <w:fldChar w:fldCharType="begin"/>
    </w:r>
    <w:r>
      <w:rPr/>
      <w:instrText xml:space="preserve"> DATE \@"M\/d'/Y'" </w:instrText>
    </w:r>
    <w:r>
      <w:rPr/>
      <w:fldChar w:fldCharType="separate"/>
    </w:r>
    <w:r>
      <w:rPr/>
      <w:t>9/28/Y</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9360" w:leader="none"/>
      </w:tabs>
      <w:rPr/>
    </w:pPr>
    <w:r>
      <w:rPr/>
      <w:tab/>
      <w:tab/>
      <w:tab/>
      <w:tab/>
      <w:tab/>
      <w:tab/>
      <w:tab/>
      <w:tab/>
      <w:tab/>
      <w:t xml:space="preserve">DRAFT - BRFG </w:t>
    </w:r>
    <w:r>
      <w:rPr/>
      <w:fldChar w:fldCharType="begin"/>
    </w:r>
    <w:r>
      <w:rPr/>
      <w:instrText xml:space="preserve"> DATE \@"M\/d'/Y'" </w:instrText>
    </w:r>
    <w:r>
      <w:rPr/>
      <w:fldChar w:fldCharType="separate"/>
    </w:r>
    <w:r>
      <w:rPr/>
      <w:t>9/28/Y</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9360" w:leader="none"/>
      </w:tabs>
      <w:rPr/>
    </w:pPr>
    <w:r>
      <w:rPr/>
      <w:tab/>
      <w:tab/>
      <w:tab/>
      <w:tab/>
      <w:tab/>
      <w:tab/>
      <w:tab/>
      <w:tab/>
      <w:tab/>
      <w:t xml:space="preserve">DRAFT - BRFG </w:t>
    </w:r>
    <w:r>
      <w:rPr/>
      <w:fldChar w:fldCharType="begin"/>
    </w:r>
    <w:r>
      <w:rPr/>
      <w:instrText xml:space="preserve"> DATE \@"M\/d'/Y'" </w:instrText>
    </w:r>
    <w:r>
      <w:rPr/>
      <w:fldChar w:fldCharType="separate"/>
    </w:r>
    <w:r>
      <w:rPr/>
      <w:t>9/28/Y</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9360" w:leader="none"/>
      </w:tabs>
      <w:rPr/>
    </w:pPr>
    <w:r>
      <w:rPr/>
      <w:tab/>
      <w:tab/>
      <w:tab/>
      <w:tab/>
      <w:tab/>
      <w:tab/>
      <w:tab/>
      <w:tab/>
      <w:tab/>
      <w:t xml:space="preserve">DRAFT - BRFG </w:t>
    </w:r>
    <w:r>
      <w:rPr/>
      <w:fldChar w:fldCharType="begin"/>
    </w:r>
    <w:r>
      <w:rPr/>
      <w:instrText xml:space="preserve"> DATE \@"M\/d'/Y'" </w:instrText>
    </w:r>
    <w:r>
      <w:rPr/>
      <w:fldChar w:fldCharType="separate"/>
    </w:r>
    <w:r>
      <w:rPr/>
      <w:t>9/28/Y</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ab/>
      <w:tab/>
      <w:t xml:space="preserve">DRAFT - BRFG </w:t>
    </w:r>
    <w:r>
      <w:rPr/>
      <w:fldChar w:fldCharType="begin"/>
    </w:r>
    <w:r>
      <w:rPr/>
      <w:instrText xml:space="preserve"> DATE \@"M\/d'/Y'" </w:instrText>
    </w:r>
    <w:r>
      <w:rPr/>
      <w:fldChar w:fldCharType="separate"/>
    </w:r>
    <w:r>
      <w:rPr/>
      <w:t>9/28/Y</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45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style>
  <w:style w:type="character" w:styleId="WW8Num6z0">
    <w:name w:val="WW8Num6z0"/>
    <w:qFormat/>
    <w:rPr/>
  </w:style>
  <w:style w:type="character" w:styleId="WW8Num7z0">
    <w:name w:val="WW8Num7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Times New Roman" w:hAnsi="CG Times;Times New Roman" w:cs="CG Times;Times New Roman"/>
      <w:vertAlign w:val="superscript"/>
    </w:rPr>
  </w:style>
  <w:style w:type="character" w:styleId="FootnoteCharacters">
    <w:name w:val="Footnote Characters"/>
    <w:basedOn w:val="DefaultParagraphFont"/>
    <w:qFormat/>
    <w:rPr>
      <w:rFonts w:ascii="CG Times;Times New Roman" w:hAnsi="CG Times;Times New Roman" w:cs="CG Times;Times New Roman"/>
      <w:sz w:val="24"/>
      <w:vertAlign w:val="superscript"/>
    </w:rPr>
  </w:style>
  <w:style w:type="character" w:styleId="PageNumber">
    <w:name w:val="page number"/>
    <w:basedOn w:val="DefaultParagraphFont"/>
    <w:rPr>
      <w:rFonts w:ascii="CG Times;Times New Roman" w:hAnsi="CG Times;Times New Roman" w:cs="CG Time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720"/>
        <w:tab w:val="clear" w:pos="1440"/>
        <w:tab w:val="clear" w:pos="2160"/>
        <w:tab w:val="clear" w:pos="2880"/>
        <w:tab w:val="clear" w:pos="3240"/>
        <w:tab w:val="clear" w:pos="4320"/>
        <w:tab w:val="clear" w:pos="4680"/>
        <w:tab w:val="clear" w:pos="5040"/>
        <w:tab w:val="clear" w:pos="9360"/>
      </w:tabs>
      <w:jc w:val="center"/>
    </w:pPr>
    <w:rPr>
      <w:rFonts w:ascii="Times New Roman" w:hAnsi="Times New Roman" w:cs="Times New Roman"/>
      <w:b/>
      <w:sz w:val="32"/>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BodyTextIndent">
    <w:name w:val="Body Text Indent"/>
    <w:basedOn w:val="Normal"/>
    <w:pPr>
      <w:tabs>
        <w:tab w:val="clear" w:pos="720"/>
        <w:tab w:val="clear" w:pos="1440"/>
        <w:tab w:val="clear" w:pos="2160"/>
        <w:tab w:val="clear" w:pos="2880"/>
        <w:tab w:val="clear" w:pos="3240"/>
        <w:tab w:val="clear" w:pos="4320"/>
        <w:tab w:val="clear" w:pos="4680"/>
        <w:tab w:val="clear" w:pos="5040"/>
        <w:tab w:val="clear" w:pos="9360"/>
      </w:tabs>
      <w:spacing w:lineRule="auto" w:line="480"/>
      <w:ind w:firstLine="720" w:start="0" w:end="0"/>
    </w:pPr>
    <w:rPr>
      <w:rFonts w:ascii="Times New Roman" w:hAnsi="Times New Roman" w:cs="Times New Roman"/>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BodyText3">
    <w:name w:val="Body Text 3"/>
    <w:basedOn w:val="Normal"/>
    <w:qFormat/>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rPr>
  </w:style>
  <w:style w:type="paragraph" w:styleId="BodyText2">
    <w:name w:val="Body Text 2"/>
    <w:basedOn w:val="Normal"/>
    <w:qFormat/>
    <w:pPr>
      <w:tabs>
        <w:tab w:val="clear" w:pos="720"/>
        <w:tab w:val="clear" w:pos="1440"/>
        <w:tab w:val="clear" w:pos="2160"/>
        <w:tab w:val="clear" w:pos="2880"/>
        <w:tab w:val="clear" w:pos="3240"/>
        <w:tab w:val="clear" w:pos="4320"/>
        <w:tab w:val="clear" w:pos="4680"/>
        <w:tab w:val="clear" w:pos="5040"/>
        <w:tab w:val="clear" w:pos="9360"/>
      </w:tabs>
      <w:jc w:val="both"/>
    </w:pPr>
    <w:rPr>
      <w:rFonts w:ascii="Times New Roman" w:hAnsi="Times New Roman" w:cs="Times New Roman"/>
    </w:rPr>
  </w:style>
  <w:style w:type="paragraph" w:styleId="DocumentNumber">
    <w:name w:val="Document Number"/>
    <w:basedOn w:val="Normal"/>
    <w:next w:val="Normal"/>
    <w:qFormat/>
    <w:p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before="360" w:after="0"/>
      <w:ind w:hanging="0" w:start="0" w:end="1260"/>
    </w:pPr>
    <w:rPr>
      <w:rFonts w:ascii="CG Omega" w:hAnsi="CG Omega" w:cs="CG Omega"/>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2001-01-22T17:06:00Z</dcterms:created>
  <dc:creator>MCRP</dc:creator>
  <dc:description/>
  <dc:language>en-CA</dc:language>
  <cp:lastModifiedBy>hkroll</cp:lastModifiedBy>
  <cp:lastPrinted>2001-01-18T11:25:00Z</cp:lastPrinted>
  <dcterms:modified xsi:type="dcterms:W3CDTF">2001-01-22T17:06:00Z</dcterms:modified>
  <cp:revision>2</cp:revision>
  <dc:subject/>
  <dc:title>STATE OF CONNECTICUT</dc:title>
</cp:coreProperties>
</file>