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 xml:space="preserve">CONFIDENTIAL DRAFT SEPT 21, 2000   </w:t>
        <w:tab/>
        <w:tab/>
        <w:tab/>
        <w:tab/>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Heading1"/>
        <w:tabs>
          <w:tab w:val="clear" w:pos="720"/>
          <w:tab w:val="left" w:pos="0" w:leader="none"/>
        </w:tabs>
        <w:spacing w:before="120" w:after="0"/>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provide or arrange for the engineering, procurement, construction, installation and testing of fuel cell electrical generation plants of approximately 50 MW in the aggregate, to be located on sites in Connecticut currently owned or controlled by CRRA and/or sites to be identified and acquired by CRRA (collectively, the "Plants" and individually, a "Plant") (such transactions described herein collectively referred to as the "Transactions"). The number of Plants to be constructed may be up to five, all expected to be built by December 31, 2004.  It is anticipated that the Plants will constructed pursuant to engineering, procurement and construction contracts (the “EPC Contracts”). The aggregate estimated lump sum price under all of the EPC Contracts payable by CRRA to the contractor thereunder is approximately US $170,000,000, and a portion of each of the EPC Contracts shall be refundable to CRRA in the event the fuel cell plant constructed under such EPC Contract does not pass performance tests related thereto.  A more complete description of the expected terms of the EPC Contracts is contained in Exhibit A.</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This Transaction falls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reasonably deems appropriate in order to conduct a due diligence or other investigation relating to the proposed Transaction,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_____.  In addition, ENA and CRRA shall endeavor to cause the general principles expressed herein and in Attachment A to be incorporated in up to five mutually acceptable definitive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understand and agree that this letter (including any reference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ENA may elect, in each case to ENA’s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CRRA has the authority to enter into the Transactions and the financing transactions (including, without limitation, bond issuances) related thereto and that the Definitive Agreements are enforceable against CRRA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___________,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Enron North America Corp. ("ENA") or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energy equipment from a company or companies located in Connecticut, and shall include a power block,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 xml:space="preserve">The Contractor will perform all engineering, design, procurement, and construction,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 (vi) assisting the Owner in developing an environmental administration system, and (vii) assisting the Owner in preparing the quality control system.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the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 portion of the final contract price allocated to an EPC Contract for a Plant shall be refundable to Owner in the event that such Plant shall fail the performance tests therefore.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(2) the commercial operations date is delayed for reasons beyond the Contractor's control.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For each Plant, the Contractor under the subject EPC Contract shall warrant performance of the Balance of Plant to be within certain to-be-agreed operating parameters for a period of one year after the commercial operations date for the plant, and shall assign to Owner all subcontractor and vendor warranties running to Contractor prior to or concurrently with the expiration of Contractor's Balance of Plant warranty.  Concurrently with Owner's acceptance of the Project, Contractor shall assign to Owner all other warranties related to the Project and running to Contractor from any other subcontractor or vendor other than the Balance of Plant warranties addressed above.</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SEPTEMBER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/mnt/main-storage/datasets/enron-docs/doc/CRRA_LOI_SEPT21-f6551e205edf5af182cf4f794ce4458787424e4d8c4c19a6a22d30354b4809e6.doc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/mnt/main-storage/datasets/enron-docs/doc/CRRA_LOI_SEPT21-f6551e205edf5af182cf4f794ce4458787424e4d8c4c19a6a22d30354b4809e6.doc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/mnt/main-storage/datasets/enron-docs/doc/CRRA_LOI_SEPT21-f6551e205edf5af182cf4f794ce4458787424e4d8c4c19a6a22d30354b4809e6.doc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September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2000-09-21T17:24:00Z</dcterms:created>
  <dc:creator>chaundra woods</dc:creator>
  <dc:description/>
  <dc:language>en-CA</dc:language>
  <cp:lastModifiedBy>kmann</cp:lastModifiedBy>
  <cp:lastPrinted>2000-09-21T14:53:00Z</cp:lastPrinted>
  <dcterms:modified xsi:type="dcterms:W3CDTF">2000-09-21T17:24:00Z</dcterms:modified>
  <cp:revision>2</cp:revision>
  <dc:subject/>
  <dc:title>January __, 2000</dc:title>
</cp:coreProperties>
</file>