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jc w:val="center"/>
        <w:rPr/>
      </w:pPr>
      <w:r>
        <w:rPr/>
        <w:t>October 31, 2000</w:t>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Heading1"/>
        <w:spacing w:before="600" w:after="0"/>
        <w:ind w:hanging="0" w:start="0"/>
        <w:rPr/>
      </w:pPr>
      <w:r>
        <w:rPr/>
        <w:t>Connecticut Resources Recovery Authority</w:t>
      </w:r>
    </w:p>
    <w:p>
      <w:pPr>
        <w:pStyle w:val="Heading1"/>
        <w:tabs>
          <w:tab w:val="clear" w:pos="720"/>
          <w:tab w:val="left" w:pos="0" w:leader="none"/>
        </w:tabs>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This letter will confirm the preliminary understanding between Enron North America Corp.'s ("ENA") and the Connecticut Resource Recovery Authority ("CRRA") concerning the potential undertaking of ENA (or its affiliates, assignees, or designees) to develop certain fuel cell projects, including arranging for or providing contracts for the engineering, procurement, construction, installation and testing of fuel cell electrical generation  facilities comprised of multiple fuel cell power plants, to total approximately 50 MW in the aggregate, to be located on sites in Connecticut currently owned, controlled, and/or to be identified and acquired by CRRA (or its affiliates, assignees or designees) (collectively, the "Facilities" and individually, a "Facility") Such transactions described herein are collectively referred to as the "Transactions". The number of Facilities to be constructed may be up to five, all expected to be built by December 31, 2004.  It is anticipated that the Facilities will be constructed pursuant to engineering, procurement and construction contracts (the “EPC Contracts”). The aggregate estimated lump sum price under all of the EPC Contracts payable by CRRA to the contractor thereunder is approximately US $170,000,000, to be financed with Connecticut state conservation and renewable funds. The lump sum price of an individual fuel cell  power plant (including its associated balance of plant) in a Facility shall be refundable to CRRA in the event the fuel cell power plant constructed under such EPC Contract for the Facility does not pass the specific performance tests related thereto.  A description of the expected terms of the EPC Contracts is contained in Exhibit A. ENA shall receive a development fee of ten percent (10%) of the total cost of the Transactions for its efforts in developing the projects.</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The Transactions fall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 and/or CRRA reasonably deem appropriate in order to conduct a due diligence or other investigation relating to the proposed Transactions,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ENA and CRRA intend to execute a mutually agreeable Development Agreement by November 30, 2000.  In addition, ENA and CRRA shall endeavor to cause the general principles expressed herein and in Attachment A to be incorporated in up to five mutually acceptable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CRRA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Facilities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Facilities.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Except as to the provisions in paragraphs 1 and 3 and CRRA's agreement below in this paragraph and the Existing Confidentiality Agreement, the parties hereto agree that this letter (including any referenced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the parties may elect, in each case to each parties’ satisfaction,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each party has the authority to enter into the Transactions and the financing transactions (including, without limitation, bond issuances) related thereto and that the Definitive Agreements are enforceable 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November 6,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 ENA, and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 Any such assignee shall be creditworthy or shall be capable of posting reasonable payment security.</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The definitive specifications for the Project and each Facility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facilities  with a combined nominal generating capacity of 50 MW to be installed on sites provided by Owner in the State of Connecticut (the "Facilities" and individually, a "Facility").  Each Facility will utilize fuel cell electric generation equipment from a company or companies located in Connecticut, and shall include one or more fuel cell power plants  as well as the balance of plant and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ENA will arrange for a contractor or contractors to perform all engineering, design, procurement, and construction activities not performed by Owner,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Facilities on a plant-by plant basis,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FuelCell Energy, Inc. equipment is utilized, each site is level, fully remediated, graded and grubbed, and compacted for roadway (no site remediation or demolition assumed), each Facility can be connected into local distribution company gas supply, a sufficient gas supply is available at site boundary at the needed supply pressure (15-20 psig) (cost of a lateral to the site boundary is not included), each Facility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Facility is already available and no upgrade therein is required, and such price does not include land acquisition costs, extraordinary utility interconnection costs, including any interconnection costs related to transmission upgrades, project development costs and fees, or contingency.  Appropriate performance tests shall be performed prior to the Owner's acceptance of each power plant within each Facility,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The Contractor shall commence the Work on a  Facility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the commercial operations date is delayed for reasons beyond the Contractor's control.  </w:t>
      </w:r>
    </w:p>
    <w:p>
      <w:pPr>
        <w:pStyle w:val="Justified"/>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0"/>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 xml:space="preserve">The Contractor under the subject EPC Contracts shall warrant performance of the power plants within each Facility to be within certain to-be-agreed operating parameters for a period of one year after the commercial operation date for the power plants, and shall assign to Owner all subcontractor and vendor warranties running to Contractor prior to or concurrently with the expiration of Contractor's warranty.  A ratable portion of the lump sum price of an individual fuel cell power plant (including its associated balance of plant) within an EPC Contract shall be refundable to CRRA in the event the fuel cell power plant constructed under such EPC Contract does not fully pass specific performance tests related thereto.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BodyText"/>
        <w:rPr>
          <w:b/>
        </w:rPr>
      </w:pPr>
      <w:r>
        <w:rPr>
          <w:b/>
        </w:rPr>
        <w:t>THIS SUMMARY OF TERMS AND CONDITIONS IS ONE ATTACHMENT TO A LETTER OF UNDERSTANDING DATED OCTOBER 31,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/mnt/main-storage/datasets/enron-docs/doc/CRRA_LOI_OCT31_Clean-74ee707c8151c7599e4eb4268cd64deaad7de360019eb0c5823da7c0da46ec23.doc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/mnt/main-storage/datasets/enron-docs/doc/CRRA_LOI_OCT31_Clean-74ee707c8151c7599e4eb4268cd64deaad7de360019eb0c5823da7c0da46ec23.doc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Normal"/>
      <w:rPr>
        <w:sz w:val="24"/>
      </w:rPr>
    </w:pPr>
    <w:r>
      <w:rPr>
        <w:sz w:val="24"/>
      </w:rPr>
      <w:t>Attn: Robert E. Wright, President</w:t>
    </w:r>
  </w:p>
  <w:p>
    <w:pPr>
      <w:pStyle w:val="Head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2000-10-31T13:22:00Z</dcterms:created>
  <dc:creator>chaundra woods</dc:creator>
  <dc:description/>
  <dc:language>en-CA</dc:language>
  <cp:lastModifiedBy>hkroll</cp:lastModifiedBy>
  <cp:lastPrinted>2000-10-31T10:00:00Z</cp:lastPrinted>
  <dcterms:modified xsi:type="dcterms:W3CDTF">2000-10-31T13:33:00Z</dcterms:modified>
  <cp:revision>8</cp:revision>
  <dc:subject/>
  <dc:title>January __, 2000</dc:title>
</cp:coreProperties>
</file>