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t>CRRA Filing</w:t>
      </w:r>
    </w:p>
    <w:p>
      <w:pPr>
        <w:pStyle w:val="Normal"/>
        <w:jc w:val="center"/>
        <w:rPr>
          <w:sz w:val="32"/>
          <w:szCs w:val="32"/>
        </w:rPr>
      </w:pPr>
      <w:r>
        <w:rPr>
          <w:b/>
          <w:bCs/>
          <w:sz w:val="32"/>
          <w:szCs w:val="32"/>
        </w:rPr>
        <w:t>Fuel Cell Farm Information</w:t>
      </w:r>
    </w:p>
    <w:p>
      <w:pPr>
        <w:pStyle w:val="Normal"/>
        <w:rPr>
          <w:sz w:val="24"/>
          <w:szCs w:val="24"/>
        </w:rPr>
      </w:pPr>
      <w:r>
        <w:rPr>
          <w:sz w:val="24"/>
          <w:szCs w:val="24"/>
        </w:rPr>
      </w:r>
    </w:p>
    <w:p>
      <w:pPr>
        <w:pStyle w:val="Normal"/>
        <w:rPr>
          <w:sz w:val="24"/>
          <w:szCs w:val="24"/>
        </w:rPr>
      </w:pPr>
      <w:r>
        <w:rPr>
          <w:sz w:val="24"/>
          <w:szCs w:val="24"/>
        </w:rPr>
      </w:r>
    </w:p>
    <w:p>
      <w:pPr>
        <w:pStyle w:val="BodyText2"/>
        <w:rPr/>
      </w:pPr>
      <w:r>
        <w:rPr/>
        <w:t>Pursuant to §33 of Public Act 98-28, An Act Concerning Electric Industry Restructuring, which is codified in §16-245m of the General Statutes of Connecticut, a Conservation and Load Management Plan must be developed to implement cost-effective energy conservation programs and market transformation initiatives.  The purpose of this statute is to advocate the efficient use of energy, reduce air pollution, improve public health, and promote economic development in Connecticut.</w:t>
      </w:r>
    </w:p>
    <w:p>
      <w:pPr>
        <w:pStyle w:val="Normal"/>
        <w:rPr>
          <w:sz w:val="24"/>
          <w:szCs w:val="24"/>
        </w:rPr>
      </w:pPr>
      <w:r>
        <w:rPr>
          <w:sz w:val="24"/>
          <w:szCs w:val="24"/>
        </w:rPr>
      </w:r>
    </w:p>
    <w:p>
      <w:pPr>
        <w:pStyle w:val="BodyText"/>
        <w:jc w:val="both"/>
        <w:rPr>
          <w:sz w:val="24"/>
          <w:szCs w:val="24"/>
        </w:rPr>
      </w:pPr>
      <w:r>
        <w:rPr>
          <w:sz w:val="24"/>
          <w:szCs w:val="24"/>
        </w:rPr>
        <w:t>Connecticut Resource Recovery Authority (“CRRA”) and Enron North America (“ENA”) propose the following plan that gives a viable, cost-effective solution to the green power requirement, encourages retail electric competition without compromising the environment and promotes the growth of a new industry that will enhance the economic development of Connecticut.</w:t>
      </w:r>
    </w:p>
    <w:p>
      <w:pPr>
        <w:pStyle w:val="BodyText"/>
        <w:rPr>
          <w:sz w:val="24"/>
          <w:szCs w:val="24"/>
        </w:rPr>
      </w:pPr>
      <w:r>
        <w:rPr>
          <w:sz w:val="24"/>
          <w:szCs w:val="24"/>
        </w:rPr>
      </w:r>
    </w:p>
    <w:p>
      <w:pPr>
        <w:pStyle w:val="BodyText"/>
        <w:rPr>
          <w:sz w:val="24"/>
          <w:szCs w:val="24"/>
        </w:rPr>
      </w:pPr>
      <w:r>
        <w:rPr>
          <w:sz w:val="24"/>
          <w:szCs w:val="24"/>
        </w:rPr>
      </w:r>
    </w:p>
    <w:p>
      <w:pPr>
        <w:pStyle w:val="BodyText"/>
        <w:rPr>
          <w:b/>
          <w:bCs/>
          <w:sz w:val="24"/>
          <w:szCs w:val="24"/>
          <w:u w:val="single"/>
        </w:rPr>
      </w:pPr>
      <w:r>
        <w:rPr>
          <w:b/>
          <w:bCs/>
          <w:sz w:val="24"/>
          <w:szCs w:val="24"/>
          <w:u w:val="single"/>
        </w:rPr>
        <w:t>Plan Overview</w:t>
      </w:r>
    </w:p>
    <w:p>
      <w:pPr>
        <w:pStyle w:val="BodyText"/>
        <w:jc w:val="both"/>
        <w:rPr>
          <w:b/>
          <w:bCs/>
          <w:sz w:val="24"/>
          <w:szCs w:val="24"/>
          <w:u w:val="single"/>
        </w:rPr>
      </w:pPr>
      <w:r>
        <w:rPr>
          <w:b/>
          <w:bCs/>
          <w:sz w:val="24"/>
          <w:szCs w:val="24"/>
          <w:u w:val="single"/>
        </w:rPr>
      </w:r>
    </w:p>
    <w:p>
      <w:pPr>
        <w:pStyle w:val="BodyText"/>
        <w:jc w:val="both"/>
        <w:rPr>
          <w:sz w:val="24"/>
          <w:szCs w:val="24"/>
        </w:rPr>
      </w:pPr>
      <w:r>
        <w:rPr>
          <w:sz w:val="24"/>
          <w:szCs w:val="24"/>
        </w:rPr>
        <w:t xml:space="preserve">CRRA and ENA plan to develop, install and dispatch 50 MW (22 units) of fuel cell facilities located throughout Connecticut. The number of facilities to be constructed may be up to five, all expected to be built by December 31, 2004.  The state’s mandate requires approximately 116 MW of Class I resources by this date (2.0% of total Connecticut load, see Exhibit 1).  </w:t>
      </w:r>
    </w:p>
    <w:p>
      <w:pPr>
        <w:pStyle w:val="BodyText"/>
        <w:jc w:val="both"/>
        <w:rPr>
          <w:sz w:val="24"/>
          <w:szCs w:val="24"/>
        </w:rPr>
      </w:pPr>
      <w:r>
        <w:rPr>
          <w:sz w:val="24"/>
          <w:szCs w:val="24"/>
        </w:rPr>
      </w:r>
    </w:p>
    <w:p>
      <w:pPr>
        <w:pStyle w:val="BodyText"/>
        <w:jc w:val="both"/>
        <w:rPr/>
      </w:pPr>
      <w:r>
        <w:rPr>
          <w:sz w:val="24"/>
          <w:szCs w:val="24"/>
        </w:rPr>
        <w:t xml:space="preserve">The facilities will utilize fuel cell electrical generation equipment from FuelCell Energy, Inc. based out of Danbury, Connecticut.  The expected all-in cost of the project is $187,000,000.  As detailed below, CRRA proposes to issue bonds to pay for the initial installation of the fuel cell farms.  These bonds will be supported and paid back over </w:t>
      </w:r>
      <w:r>
        <w:rPr>
          <w:b/>
          <w:bCs/>
          <w:sz w:val="24"/>
          <w:szCs w:val="24"/>
        </w:rPr>
        <w:t>[10]</w:t>
      </w:r>
      <w:r>
        <w:rPr>
          <w:sz w:val="24"/>
          <w:szCs w:val="24"/>
        </w:rPr>
        <w:t xml:space="preserve"> years by utilizing a portion of the Conservation Fund collected through the three-mill charge applied to the kWh sales of all Connecticut customers.</w:t>
      </w:r>
    </w:p>
    <w:p>
      <w:pPr>
        <w:pStyle w:val="BodyText"/>
        <w:jc w:val="both"/>
        <w:rPr>
          <w:sz w:val="24"/>
          <w:szCs w:val="24"/>
        </w:rPr>
      </w:pPr>
      <w:r>
        <w:rPr>
          <w:sz w:val="24"/>
          <w:szCs w:val="24"/>
        </w:rPr>
      </w:r>
    </w:p>
    <w:p>
      <w:pPr>
        <w:pStyle w:val="BodyText"/>
        <w:jc w:val="both"/>
        <w:rPr>
          <w:sz w:val="24"/>
          <w:szCs w:val="24"/>
        </w:rPr>
      </w:pPr>
      <w:r>
        <w:rPr>
          <w:sz w:val="24"/>
          <w:szCs w:val="24"/>
        </w:rPr>
        <w:t xml:space="preserve">Using funds raised through the conservation charge included in every ratepayer’s bill, CRRA and ENA will develop and build and CRRA will own and maintain the fuel cell farms as a representative of State of Connecticut.  As the ratepayers of Connecticut are paying for the installation of these green resources in their monthly electric bills, it only makes sense that the State owns the fuel cell farms and uses them for the benefit of its citizens.  </w:t>
      </w:r>
    </w:p>
    <w:p>
      <w:pPr>
        <w:pStyle w:val="BodyText"/>
        <w:jc w:val="both"/>
        <w:rPr>
          <w:sz w:val="24"/>
          <w:szCs w:val="24"/>
        </w:rPr>
      </w:pPr>
      <w:r>
        <w:rPr>
          <w:sz w:val="24"/>
          <w:szCs w:val="24"/>
        </w:rPr>
      </w:r>
    </w:p>
    <w:p>
      <w:pPr>
        <w:pStyle w:val="BodyText"/>
        <w:jc w:val="both"/>
        <w:rPr>
          <w:sz w:val="24"/>
          <w:szCs w:val="24"/>
        </w:rPr>
      </w:pPr>
      <w:r>
        <w:rPr>
          <w:sz w:val="24"/>
          <w:szCs w:val="24"/>
        </w:rPr>
        <w:t>CRRA will dispatch the units into the Connecticut power grid and make the power available to all market participants which will guarantee green power is available to any and all parties that want to compete for customers in Connecticut.  As a result, the biggest hurdle to entering the Connecticut electric market as an alternate retail supplier will be gone and the state’s ratepayers will benefit from a competitive electric supply market.</w:t>
      </w:r>
    </w:p>
    <w:p>
      <w:pPr>
        <w:pStyle w:val="BodyText"/>
        <w:jc w:val="both"/>
        <w:rPr>
          <w:sz w:val="24"/>
          <w:szCs w:val="24"/>
        </w:rPr>
      </w:pPr>
      <w:r>
        <w:rPr>
          <w:sz w:val="24"/>
          <w:szCs w:val="24"/>
        </w:rPr>
      </w:r>
    </w:p>
    <w:p>
      <w:pPr>
        <w:pStyle w:val="BodyText"/>
        <w:jc w:val="both"/>
        <w:rPr>
          <w:sz w:val="24"/>
          <w:szCs w:val="24"/>
        </w:rPr>
      </w:pPr>
      <w:r>
        <w:rPr>
          <w:sz w:val="24"/>
          <w:szCs w:val="24"/>
        </w:rPr>
        <w:t>CRRA will own the facilities which will be located on sites owned and controlled by CRRA.  Subject to further due diligence including permitting requirements and Siting Council approval, the proposed sites and configurations are listed below.</w:t>
      </w:r>
    </w:p>
    <w:p>
      <w:pPr>
        <w:pStyle w:val="BodyText"/>
        <w:jc w:val="both"/>
        <w:rPr>
          <w:sz w:val="24"/>
          <w:szCs w:val="24"/>
        </w:rPr>
      </w:pPr>
      <w:r>
        <w:rPr>
          <w:sz w:val="24"/>
          <w:szCs w:val="24"/>
        </w:rPr>
      </w:r>
    </w:p>
    <w:tbl>
      <w:tblPr>
        <w:tblW w:w="6408" w:type="dxa"/>
        <w:jc w:val="start"/>
        <w:tblInd w:w="0" w:type="dxa"/>
        <w:tblLayout w:type="fixed"/>
        <w:tblCellMar>
          <w:top w:w="0" w:type="dxa"/>
          <w:start w:w="108" w:type="dxa"/>
          <w:bottom w:w="0" w:type="dxa"/>
          <w:end w:w="108" w:type="dxa"/>
        </w:tblCellMar>
      </w:tblPr>
      <w:tblGrid>
        <w:gridCol w:w="2952"/>
        <w:gridCol w:w="1728"/>
        <w:gridCol w:w="1728"/>
      </w:tblGrid>
      <w:tr>
        <w:trPr/>
        <w:tc>
          <w:tcPr>
            <w:tcW w:w="2952" w:type="dxa"/>
            <w:tcBorders/>
          </w:tcPr>
          <w:p>
            <w:pPr>
              <w:pStyle w:val="BodyText"/>
              <w:pBdr>
                <w:bottom w:val="single" w:sz="6" w:space="1" w:color="000000"/>
              </w:pBdr>
              <w:jc w:val="center"/>
              <w:rPr>
                <w:b/>
                <w:bCs/>
                <w:sz w:val="24"/>
                <w:szCs w:val="24"/>
              </w:rPr>
            </w:pPr>
            <w:r>
              <w:rPr>
                <w:b/>
                <w:bCs/>
                <w:sz w:val="24"/>
                <w:szCs w:val="24"/>
              </w:rPr>
              <w:br/>
              <w:t>Site</w:t>
            </w:r>
          </w:p>
        </w:tc>
        <w:tc>
          <w:tcPr>
            <w:tcW w:w="1728" w:type="dxa"/>
            <w:tcBorders/>
          </w:tcPr>
          <w:p>
            <w:pPr>
              <w:pStyle w:val="BodyText"/>
              <w:pBdr>
                <w:bottom w:val="single" w:sz="6" w:space="1" w:color="000000"/>
              </w:pBdr>
              <w:jc w:val="center"/>
              <w:rPr>
                <w:b/>
                <w:bCs/>
                <w:sz w:val="24"/>
                <w:szCs w:val="24"/>
              </w:rPr>
            </w:pPr>
            <w:r>
              <w:rPr>
                <w:b/>
                <w:bCs/>
                <w:sz w:val="24"/>
                <w:szCs w:val="24"/>
              </w:rPr>
              <w:t>Number of Units</w:t>
            </w:r>
          </w:p>
        </w:tc>
        <w:tc>
          <w:tcPr>
            <w:tcW w:w="1728" w:type="dxa"/>
            <w:tcBorders/>
          </w:tcPr>
          <w:p>
            <w:pPr>
              <w:pStyle w:val="BodyText"/>
              <w:pBdr>
                <w:bottom w:val="single" w:sz="6" w:space="1" w:color="000000"/>
              </w:pBdr>
              <w:jc w:val="center"/>
              <w:rPr>
                <w:b/>
                <w:bCs/>
                <w:sz w:val="24"/>
                <w:szCs w:val="24"/>
              </w:rPr>
            </w:pPr>
            <w:r>
              <w:rPr>
                <w:b/>
                <w:bCs/>
                <w:sz w:val="24"/>
                <w:szCs w:val="24"/>
              </w:rPr>
              <w:br/>
              <w:t>Total MWs</w:t>
            </w:r>
          </w:p>
        </w:tc>
      </w:tr>
      <w:tr>
        <w:trPr/>
        <w:tc>
          <w:tcPr>
            <w:tcW w:w="2952" w:type="dxa"/>
            <w:tcBorders/>
          </w:tcPr>
          <w:p>
            <w:pPr>
              <w:pStyle w:val="BodyText"/>
              <w:jc w:val="both"/>
              <w:rPr>
                <w:sz w:val="24"/>
                <w:szCs w:val="24"/>
              </w:rPr>
            </w:pPr>
            <w:r>
              <w:rPr>
                <w:sz w:val="24"/>
                <w:szCs w:val="24"/>
              </w:rPr>
              <w:t>Wallingford</w:t>
            </w:r>
          </w:p>
        </w:tc>
        <w:tc>
          <w:tcPr>
            <w:tcW w:w="1728" w:type="dxa"/>
            <w:tcBorders/>
          </w:tcPr>
          <w:p>
            <w:pPr>
              <w:pStyle w:val="BodyText"/>
              <w:jc w:val="center"/>
              <w:rPr>
                <w:sz w:val="24"/>
                <w:szCs w:val="24"/>
              </w:rPr>
            </w:pPr>
            <w:r>
              <w:rPr>
                <w:sz w:val="24"/>
                <w:szCs w:val="24"/>
              </w:rPr>
              <w:t>10</w:t>
            </w:r>
          </w:p>
        </w:tc>
        <w:tc>
          <w:tcPr>
            <w:tcW w:w="1728" w:type="dxa"/>
            <w:tcBorders/>
          </w:tcPr>
          <w:p>
            <w:pPr>
              <w:pStyle w:val="BodyText"/>
              <w:jc w:val="center"/>
              <w:rPr>
                <w:sz w:val="24"/>
                <w:szCs w:val="24"/>
              </w:rPr>
            </w:pPr>
            <w:r>
              <w:rPr>
                <w:sz w:val="24"/>
                <w:szCs w:val="24"/>
              </w:rPr>
              <w:t>21.2</w:t>
            </w:r>
          </w:p>
        </w:tc>
      </w:tr>
      <w:tr>
        <w:trPr/>
        <w:tc>
          <w:tcPr>
            <w:tcW w:w="2952" w:type="dxa"/>
            <w:tcBorders/>
          </w:tcPr>
          <w:p>
            <w:pPr>
              <w:pStyle w:val="BodyText"/>
              <w:jc w:val="both"/>
              <w:rPr>
                <w:sz w:val="24"/>
                <w:szCs w:val="24"/>
              </w:rPr>
            </w:pPr>
            <w:r>
              <w:rPr>
                <w:sz w:val="24"/>
                <w:szCs w:val="24"/>
              </w:rPr>
              <w:t>Hartford</w:t>
            </w:r>
          </w:p>
        </w:tc>
        <w:tc>
          <w:tcPr>
            <w:tcW w:w="1728" w:type="dxa"/>
            <w:tcBorders/>
          </w:tcPr>
          <w:p>
            <w:pPr>
              <w:pStyle w:val="BodyText"/>
              <w:pBdr>
                <w:bottom w:val="single" w:sz="6" w:space="1" w:color="000000"/>
              </w:pBdr>
              <w:jc w:val="center"/>
              <w:rPr>
                <w:sz w:val="24"/>
                <w:szCs w:val="24"/>
              </w:rPr>
            </w:pPr>
            <w:r>
              <w:rPr>
                <w:sz w:val="24"/>
                <w:szCs w:val="24"/>
              </w:rPr>
              <w:t>12</w:t>
            </w:r>
          </w:p>
        </w:tc>
        <w:tc>
          <w:tcPr>
            <w:tcW w:w="1728" w:type="dxa"/>
            <w:tcBorders/>
          </w:tcPr>
          <w:p>
            <w:pPr>
              <w:pStyle w:val="BodyText"/>
              <w:pBdr>
                <w:bottom w:val="single" w:sz="6" w:space="1" w:color="000000"/>
              </w:pBdr>
              <w:jc w:val="center"/>
              <w:rPr>
                <w:sz w:val="24"/>
                <w:szCs w:val="24"/>
              </w:rPr>
            </w:pPr>
            <w:r>
              <w:rPr>
                <w:sz w:val="24"/>
                <w:szCs w:val="24"/>
              </w:rPr>
              <w:t>28.8</w:t>
            </w:r>
          </w:p>
        </w:tc>
      </w:tr>
      <w:tr>
        <w:trPr/>
        <w:tc>
          <w:tcPr>
            <w:tcW w:w="2952" w:type="dxa"/>
            <w:tcBorders/>
          </w:tcPr>
          <w:p>
            <w:pPr>
              <w:pStyle w:val="BodyText"/>
              <w:jc w:val="both"/>
              <w:rPr>
                <w:sz w:val="24"/>
                <w:szCs w:val="24"/>
              </w:rPr>
            </w:pPr>
            <w:r>
              <w:rPr>
                <w:sz w:val="24"/>
                <w:szCs w:val="24"/>
              </w:rPr>
              <w:t>Total</w:t>
            </w:r>
          </w:p>
        </w:tc>
        <w:tc>
          <w:tcPr>
            <w:tcW w:w="1728" w:type="dxa"/>
            <w:tcBorders/>
          </w:tcPr>
          <w:p>
            <w:pPr>
              <w:pStyle w:val="BodyText"/>
              <w:jc w:val="center"/>
              <w:rPr>
                <w:sz w:val="24"/>
                <w:szCs w:val="24"/>
              </w:rPr>
            </w:pPr>
            <w:r>
              <w:rPr>
                <w:sz w:val="24"/>
                <w:szCs w:val="24"/>
              </w:rPr>
              <w:t>22</w:t>
            </w:r>
          </w:p>
        </w:tc>
        <w:tc>
          <w:tcPr>
            <w:tcW w:w="1728" w:type="dxa"/>
            <w:tcBorders/>
          </w:tcPr>
          <w:p>
            <w:pPr>
              <w:pStyle w:val="BodyText"/>
              <w:jc w:val="center"/>
              <w:rPr>
                <w:b/>
                <w:bCs/>
                <w:sz w:val="24"/>
                <w:szCs w:val="24"/>
              </w:rPr>
            </w:pPr>
            <w:r>
              <w:rPr>
                <w:b/>
                <w:bCs/>
                <w:sz w:val="24"/>
                <w:szCs w:val="24"/>
              </w:rPr>
              <w:t>50.0</w:t>
            </w:r>
          </w:p>
        </w:tc>
      </w:tr>
    </w:tbl>
    <w:p>
      <w:pPr>
        <w:pStyle w:val="BodyText"/>
        <w:jc w:val="both"/>
        <w:rPr>
          <w:sz w:val="24"/>
          <w:szCs w:val="24"/>
        </w:rPr>
      </w:pPr>
      <w:r>
        <w:rPr>
          <w:sz w:val="24"/>
          <w:szCs w:val="24"/>
        </w:rPr>
      </w:r>
    </w:p>
    <w:p>
      <w:pPr>
        <w:pStyle w:val="BodyText"/>
        <w:jc w:val="both"/>
        <w:rPr>
          <w:sz w:val="24"/>
          <w:szCs w:val="24"/>
        </w:rPr>
      </w:pPr>
      <w:r>
        <w:rPr>
          <w:sz w:val="24"/>
          <w:szCs w:val="24"/>
        </w:rPr>
        <w:t>CRRA and ENA will develop up to three alternate sites within Connecticut in order to maintain the budget and installation schedule if one of the primary sites becomes unusable or uneconomical for some unforeseen circumstance.</w:t>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b/>
          <w:bCs/>
          <w:sz w:val="24"/>
          <w:szCs w:val="24"/>
          <w:u w:val="single"/>
        </w:rPr>
      </w:pPr>
      <w:r>
        <w:rPr>
          <w:b/>
          <w:bCs/>
          <w:sz w:val="24"/>
          <w:szCs w:val="24"/>
          <w:u w:val="single"/>
        </w:rPr>
        <w:t>Cost per Unit PROTECTIVE ORDER?????</w:t>
      </w:r>
    </w:p>
    <w:p>
      <w:pPr>
        <w:pStyle w:val="BodyText"/>
        <w:jc w:val="both"/>
        <w:rPr>
          <w:b/>
          <w:bCs/>
          <w:sz w:val="24"/>
          <w:szCs w:val="24"/>
          <w:u w:val="single"/>
        </w:rPr>
      </w:pPr>
      <w:r>
        <w:rPr>
          <w:b/>
          <w:bCs/>
          <w:sz w:val="24"/>
          <w:szCs w:val="24"/>
          <w:u w:val="single"/>
        </w:rPr>
      </w:r>
    </w:p>
    <w:p>
      <w:pPr>
        <w:pStyle w:val="BodyText"/>
        <w:jc w:val="both"/>
        <w:rPr>
          <w:sz w:val="24"/>
          <w:szCs w:val="24"/>
        </w:rPr>
      </w:pPr>
      <w:r>
        <w:rPr>
          <w:sz w:val="24"/>
          <w:szCs w:val="24"/>
        </w:rPr>
        <w:t>Currently the installed cost of a fuel cell ranges between $4,000 and $6,000 per kilowatt.  While the technology is proven and reliable, manufacturers have not been able to achieve economic commercialization due to the high capital expenditures required to build up their manufacturing process without orders to support the expenditures.</w:t>
      </w:r>
    </w:p>
    <w:p>
      <w:pPr>
        <w:pStyle w:val="BodyText"/>
        <w:jc w:val="both"/>
        <w:rPr>
          <w:sz w:val="24"/>
          <w:szCs w:val="24"/>
        </w:rPr>
      </w:pPr>
      <w:r>
        <w:rPr>
          <w:sz w:val="24"/>
          <w:szCs w:val="24"/>
        </w:rPr>
      </w:r>
    </w:p>
    <w:p>
      <w:pPr>
        <w:pStyle w:val="BodyText"/>
        <w:jc w:val="both"/>
        <w:rPr>
          <w:sz w:val="24"/>
          <w:szCs w:val="24"/>
        </w:rPr>
      </w:pPr>
      <w:r>
        <w:rPr>
          <w:sz w:val="24"/>
          <w:szCs w:val="24"/>
        </w:rPr>
        <w:t>This 50 MW order sufficiently supports the manufacturing investment required to automate and develop economies of scale associated with volume manufacturing and to begin the commercialization of fuel cells as a viable and economical power supply.  The effect of moving down the price curve can be seen in the per unit price quoted from FuelCell Energy plus installation costs.  The average installed cost for the 50 MW installation is $3,740 per kilowatt, even though the first unit costs $5,325 per kilowatt and the marginal cost of the last unit is $3,640 per kilowatt.  A 50 MW order results in a 46% reduction in price between the first unit and the last unit.  Once attained, these savings will be passed on to future customers who want to purchase a fuel cell power plants on an incremental basis.</w:t>
      </w:r>
    </w:p>
    <w:p>
      <w:pPr>
        <w:pStyle w:val="BodyText"/>
        <w:jc w:val="both"/>
        <w:rPr>
          <w:sz w:val="24"/>
          <w:szCs w:val="24"/>
        </w:rPr>
      </w:pPr>
      <w:r>
        <w:rPr>
          <w:sz w:val="24"/>
          <w:szCs w:val="24"/>
        </w:rPr>
      </w:r>
    </w:p>
    <w:p>
      <w:pPr>
        <w:pStyle w:val="BodyText"/>
        <w:jc w:val="both"/>
        <w:rPr>
          <w:sz w:val="24"/>
          <w:szCs w:val="24"/>
        </w:rPr>
      </w:pPr>
      <w:r>
        <w:rPr>
          <w:sz w:val="24"/>
          <w:szCs w:val="24"/>
        </w:rPr>
        <w:t>What this means to the market at large is that because of this order, fuel cells have become cheaper for all and become more attractive as a source of generation.</w:t>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b/>
          <w:bCs/>
          <w:sz w:val="24"/>
          <w:szCs w:val="24"/>
          <w:u w:val="single"/>
        </w:rPr>
      </w:pPr>
      <w:r>
        <w:rPr>
          <w:b/>
          <w:bCs/>
          <w:sz w:val="24"/>
          <w:szCs w:val="24"/>
          <w:u w:val="single"/>
        </w:rPr>
        <w:t>Environmental Benefits</w:t>
      </w:r>
    </w:p>
    <w:p>
      <w:pPr>
        <w:pStyle w:val="BodyText"/>
        <w:jc w:val="both"/>
        <w:rPr>
          <w:b/>
          <w:bCs/>
          <w:sz w:val="24"/>
          <w:szCs w:val="24"/>
          <w:u w:val="single"/>
        </w:rPr>
      </w:pPr>
      <w:r>
        <w:rPr>
          <w:b/>
          <w:bCs/>
          <w:sz w:val="24"/>
          <w:szCs w:val="24"/>
          <w:u w:val="single"/>
        </w:rPr>
      </w:r>
    </w:p>
    <w:p>
      <w:pPr>
        <w:pStyle w:val="BodyText"/>
        <w:jc w:val="both"/>
        <w:rPr>
          <w:sz w:val="24"/>
          <w:szCs w:val="24"/>
        </w:rPr>
      </w:pPr>
      <w:r>
        <w:rPr>
          <w:sz w:val="24"/>
          <w:szCs w:val="24"/>
        </w:rPr>
        <w:t>Fuel cells fulfill several of the goals outlined in §33 of Public Act 98-28 and CGS 16-245m which call for the implementation of cost-effective energy conservation programs and market transformation initiatives.  The initial installation serves to “jump start” the fuel cell industry and clearly serves as a market transformation initiative.  As an on-going project, the facilities can be evaluated on the basis of cost-effective energy conservation programs.</w:t>
      </w:r>
    </w:p>
    <w:p>
      <w:pPr>
        <w:pStyle w:val="BodyText"/>
        <w:jc w:val="both"/>
        <w:rPr>
          <w:sz w:val="24"/>
          <w:szCs w:val="24"/>
        </w:rPr>
      </w:pPr>
      <w:r>
        <w:rPr>
          <w:sz w:val="24"/>
          <w:szCs w:val="24"/>
        </w:rPr>
      </w:r>
    </w:p>
    <w:p>
      <w:pPr>
        <w:pStyle w:val="BodyText"/>
        <w:jc w:val="both"/>
        <w:rPr>
          <w:sz w:val="24"/>
          <w:szCs w:val="24"/>
        </w:rPr>
      </w:pPr>
      <w:r>
        <w:rPr>
          <w:sz w:val="24"/>
          <w:szCs w:val="24"/>
        </w:rPr>
        <w:t>FuelCell Energy expects its fuel cell modules to have a fuel conversion efficiency of approximately 50%.  This efficiency compares very favorably to the existing installed electric generation infrastructure that utilizes fossil fuels (coal, oil and natural gas burning facilities).  The average fuel conversion efficiency of the existing fossil fuel generation fleet is approximately 32% [Ozzie to confirm this stat].  This means that FuelCell Energy’s fuel cells process 56% less fuel to make an equivalent amount of electricity, with fractions of the pollutants that result from burning fossil fuels.</w:t>
      </w:r>
    </w:p>
    <w:p>
      <w:pPr>
        <w:pStyle w:val="BodyText"/>
        <w:jc w:val="both"/>
        <w:rPr>
          <w:sz w:val="24"/>
          <w:szCs w:val="24"/>
        </w:rPr>
      </w:pPr>
      <w:r>
        <w:rPr>
          <w:sz w:val="24"/>
          <w:szCs w:val="24"/>
        </w:rPr>
      </w:r>
    </w:p>
    <w:p>
      <w:pPr>
        <w:pStyle w:val="BodyText"/>
        <w:jc w:val="both"/>
        <w:rPr>
          <w:sz w:val="24"/>
          <w:szCs w:val="24"/>
        </w:rPr>
      </w:pPr>
      <w:r>
        <w:rPr>
          <w:sz w:val="24"/>
          <w:szCs w:val="24"/>
        </w:rPr>
        <w:t>While it is extremely important to conserve energy by using less electricity, it is equally important to conserve energy by using less fuel.  The combined opportunities of using less fuel to make electricity which is then conserved through energy-efficient applications are clear ways to attain a cleaner environment.</w:t>
      </w:r>
    </w:p>
    <w:p>
      <w:pPr>
        <w:pStyle w:val="BodyText"/>
        <w:jc w:val="both"/>
        <w:rPr>
          <w:sz w:val="24"/>
          <w:szCs w:val="24"/>
        </w:rPr>
      </w:pPr>
      <w:r>
        <w:rPr>
          <w:sz w:val="24"/>
          <w:szCs w:val="24"/>
        </w:rPr>
      </w:r>
    </w:p>
    <w:p>
      <w:pPr>
        <w:pStyle w:val="Normal"/>
        <w:jc w:val="both"/>
        <w:rPr/>
      </w:pPr>
      <w:r>
        <w:rPr>
          <w:sz w:val="24"/>
          <w:szCs w:val="24"/>
        </w:rPr>
        <w:t>A fuel cell produces electricity through a chemical reaction.  Hydrogen and a catalyst are used to make electricity, water and heat without “moving parts”.  Traditional electric generation technology relies on combustion to create kinetic energy to turn a turbine and generator and then convert the energy to electrical energy.  It is the combustion or “burning” of fuel that creates or releases the NO</w:t>
      </w:r>
      <w:r>
        <w:rPr>
          <w:sz w:val="24"/>
          <w:szCs w:val="24"/>
          <w:vertAlign w:val="subscript"/>
        </w:rPr>
        <w:t xml:space="preserve">x </w:t>
      </w:r>
      <w:r>
        <w:rPr>
          <w:sz w:val="24"/>
          <w:szCs w:val="24"/>
        </w:rPr>
        <w:t>and SO</w:t>
      </w:r>
      <w:r>
        <w:rPr>
          <w:sz w:val="24"/>
          <w:szCs w:val="24"/>
          <w:vertAlign w:val="subscript"/>
        </w:rPr>
        <w:t xml:space="preserve">2 </w:t>
      </w:r>
      <w:r>
        <w:rPr>
          <w:sz w:val="24"/>
          <w:szCs w:val="24"/>
        </w:rPr>
        <w:t xml:space="preserve">associated with the generation of electricity by oil, coal, and natural gas.  </w:t>
      </w:r>
    </w:p>
    <w:p>
      <w:pPr>
        <w:pStyle w:val="Normal"/>
        <w:jc w:val="both"/>
        <w:rPr>
          <w:sz w:val="24"/>
          <w:szCs w:val="24"/>
        </w:rPr>
      </w:pPr>
      <w:r>
        <w:rPr>
          <w:sz w:val="24"/>
          <w:szCs w:val="24"/>
        </w:rPr>
      </w:r>
    </w:p>
    <w:p>
      <w:pPr>
        <w:pStyle w:val="Normal"/>
        <w:jc w:val="both"/>
        <w:rPr/>
      </w:pPr>
      <w:r>
        <w:rPr>
          <w:sz w:val="24"/>
          <w:szCs w:val="24"/>
        </w:rPr>
        <w:t>When compared to even the cleanest generation (combined cycle combustion turbine) using pipeline quality natural gas, a fuel cell is much cleaner.  For example the combined cycle plant utilizing Best Available Control Technology (“BACT”) technology will still emit nine ppm of NO</w:t>
      </w:r>
      <w:r>
        <w:rPr>
          <w:sz w:val="24"/>
          <w:szCs w:val="24"/>
          <w:vertAlign w:val="subscript"/>
        </w:rPr>
        <w:t xml:space="preserve">x </w:t>
      </w:r>
      <w:r>
        <w:rPr>
          <w:sz w:val="24"/>
          <w:szCs w:val="24"/>
        </w:rPr>
        <w:t>while the fuel cell emits &lt; 0.1 ppm.  [Need more emissions stats]</w:t>
      </w:r>
    </w:p>
    <w:p>
      <w:pPr>
        <w:pStyle w:val="Normal"/>
        <w:jc w:val="both"/>
        <w:rPr>
          <w:sz w:val="24"/>
          <w:szCs w:val="24"/>
        </w:rPr>
      </w:pPr>
      <w:r>
        <w:rPr>
          <w:sz w:val="24"/>
          <w:szCs w:val="24"/>
        </w:rPr>
      </w:r>
    </w:p>
    <w:p>
      <w:pPr>
        <w:pStyle w:val="Normal"/>
        <w:jc w:val="both"/>
        <w:rPr>
          <w:sz w:val="24"/>
          <w:szCs w:val="24"/>
        </w:rPr>
      </w:pPr>
      <w:r>
        <w:rPr>
          <w:sz w:val="24"/>
          <w:szCs w:val="24"/>
        </w:rPr>
        <w:t xml:space="preserve">Additionally there are connected actions associated with the construction of a traditional generating facility, including building new transmission lines, pipeline expansions, water treatment facilities and roads.  In order to achieve economic viability, a new generation installation must approach 400 MW which requires at least 20 acres at a minimum.  Because of the footprint requirement, the environmental effects and social opposition of these new installation are decentralized from the loads the facility is built to serve.  It is this decentralization of generation from the load that causes congestion and uplifts on the existing transmission system and eventually mandates the construction of more transmission facilities.  </w:t>
      </w:r>
    </w:p>
    <w:p>
      <w:pPr>
        <w:pStyle w:val="Normal"/>
        <w:jc w:val="both"/>
        <w:rPr>
          <w:sz w:val="24"/>
          <w:szCs w:val="24"/>
        </w:rPr>
      </w:pPr>
      <w:r>
        <w:rPr>
          <w:sz w:val="24"/>
          <w:szCs w:val="24"/>
        </w:rPr>
      </w:r>
    </w:p>
    <w:p>
      <w:pPr>
        <w:pStyle w:val="Normal"/>
        <w:jc w:val="both"/>
        <w:rPr>
          <w:sz w:val="24"/>
          <w:szCs w:val="24"/>
        </w:rPr>
      </w:pPr>
      <w:r>
        <w:rPr>
          <w:sz w:val="24"/>
          <w:szCs w:val="24"/>
        </w:rPr>
        <w:t xml:space="preserve">A fuel cell, conversely, is distributed generation and can be installed close to the load within the congestion areas, adding to the efficiency and reliability of the electric system.  A two MW fuel cell power plant only requires space the size of a tennis court, can be installed in a building and can use existing low pressure distribution gas lines for fuel supply.  Distributed generation alleviates the requirement for large infrastructure improvements and benefits society as a whole by lessening the connected actions required to maintain the level of electric service expected by all.    </w:t>
      </w:r>
    </w:p>
    <w:p>
      <w:pPr>
        <w:pStyle w:val="Heading2"/>
        <w:ind w:hanging="0" w:start="0"/>
        <w:rPr/>
      </w:pPr>
      <w:r>
        <w:rPr/>
        <w:t xml:space="preserve">Disposition of Electrical Output </w:t>
      </w:r>
    </w:p>
    <w:p>
      <w:pPr>
        <w:pStyle w:val="Normal"/>
        <w:rPr>
          <w:sz w:val="24"/>
          <w:szCs w:val="24"/>
        </w:rPr>
      </w:pPr>
      <w:r>
        <w:rPr>
          <w:sz w:val="24"/>
          <w:szCs w:val="24"/>
        </w:rPr>
      </w:r>
    </w:p>
    <w:p>
      <w:pPr>
        <w:pStyle w:val="BodyText2"/>
        <w:rPr/>
      </w:pPr>
      <w:r>
        <w:rPr/>
        <w:t xml:space="preserve">The electrical output of these farms includes electric energy, ancillary services and a potential green premium.  Energy and ancillary services will be dispatched against the NEPOOL  power exchange.  A dispatch schedule and bidding strategy that maximizes the value of the plants in the wholesale market will be devised and implemented daily by CRRA.  Revenues from the sale of the plant’s electrical output will serve to offset the cost of fuel and operations.  Exhibit 2 details a pro forma analysis of the cost effectiveness of the facilities.  </w:t>
      </w:r>
    </w:p>
    <w:p>
      <w:pPr>
        <w:pStyle w:val="Normal"/>
        <w:jc w:val="both"/>
        <w:rPr>
          <w:sz w:val="24"/>
          <w:szCs w:val="24"/>
        </w:rPr>
      </w:pPr>
      <w:r>
        <w:rPr>
          <w:sz w:val="24"/>
          <w:szCs w:val="24"/>
        </w:rPr>
      </w:r>
    </w:p>
    <w:p>
      <w:pPr>
        <w:pStyle w:val="BodyText3"/>
        <w:jc w:val="both"/>
        <w:rPr/>
      </w:pPr>
      <w:r>
        <w:rPr/>
        <w:t>Without assignment of a green premium, forecasts show that the farms will operate net positive as an on-going enterprise.  The forecasts assume the average cost of power is at the present weighted average standard offer rate for Connecticut Light and Power and The United Illuminating Company and the cost of fuel averages $4.20/mmBtu.</w:t>
      </w:r>
    </w:p>
    <w:p>
      <w:pPr>
        <w:pStyle w:val="Normal"/>
        <w:jc w:val="both"/>
        <w:rPr>
          <w:sz w:val="24"/>
          <w:szCs w:val="24"/>
        </w:rPr>
      </w:pPr>
      <w:r>
        <w:rPr>
          <w:sz w:val="24"/>
          <w:szCs w:val="24"/>
        </w:rPr>
      </w:r>
    </w:p>
    <w:p>
      <w:pPr>
        <w:pStyle w:val="Normal"/>
        <w:jc w:val="both"/>
        <w:rPr>
          <w:sz w:val="24"/>
          <w:szCs w:val="24"/>
        </w:rPr>
      </w:pPr>
      <w:r>
        <w:rPr>
          <w:sz w:val="24"/>
          <w:szCs w:val="24"/>
        </w:rPr>
        <w:t xml:space="preserve">CRRA and ENA propose that initially these Class I resources are made available at a wholesale rate without a green premium to entities wishing to serve load in Connecticut in order to meet the portfolio requirements pursuant to §33 of Public Act 98-28 and CGS 16-245m.  The purpose of not charging a green premium initially is to encourage wholesale and retail competition in Connecticut and to promote compliance with the green energy requirements that are presently difficult and economically prohibitive to meet.  After the first few years fuel cell technology should infiltrate the market as a viable and cost effective source of generation due to economies of scale and suppliers will be able to make the capital investments necessary to meet their portfolio requirements.  The electrical output value of these farms will then be the sum of the energy and ancillaries plus a reasonable green premium as the portfolio requirements will probably outpace supply for the foreseeable future. </w:t>
      </w:r>
    </w:p>
    <w:p>
      <w:pPr>
        <w:pStyle w:val="BodyText"/>
        <w:jc w:val="both"/>
        <w:rPr>
          <w:sz w:val="24"/>
          <w:szCs w:val="24"/>
        </w:rPr>
      </w:pPr>
      <w:r>
        <w:rPr>
          <w:sz w:val="24"/>
          <w:szCs w:val="24"/>
        </w:rPr>
      </w:r>
    </w:p>
    <w:p>
      <w:pPr>
        <w:pStyle w:val="BodyText"/>
        <w:jc w:val="both"/>
        <w:rPr>
          <w:sz w:val="24"/>
          <w:szCs w:val="24"/>
        </w:rPr>
      </w:pPr>
      <w:r>
        <w:rPr>
          <w:sz w:val="24"/>
          <w:szCs w:val="24"/>
        </w:rPr>
        <w:t>CRRA and ENA believe the installed fuel cell facilities should be held to the cost effectiveness testing procedures required of other energy conservation programs approved by the DPUC under §33 of Public Act 98-28.  Any income from the fuel cell facilities may be returned to the Conservation Fund or used in other DPUC-approved conservation programs.  In return, CRRA will be reimbursed through the Conservation Fund for any shortfall in earnings caused by lower-than-expected energy prices or higher-than-expected fuel or operating prices for a given year.  If the fuel cell program fails to meet cost-effectiveness testing, the DPUC may determine to modify the program, for example, by instilling a green power premium on the kWh sold out of the fuel cells.</w:t>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b/>
          <w:bCs/>
          <w:sz w:val="24"/>
          <w:szCs w:val="24"/>
          <w:u w:val="single"/>
        </w:rPr>
      </w:pPr>
      <w:r>
        <w:rPr>
          <w:b/>
          <w:bCs/>
          <w:sz w:val="24"/>
          <w:szCs w:val="24"/>
          <w:u w:val="single"/>
        </w:rPr>
        <w:t>Economic Development Benefits</w:t>
      </w:r>
    </w:p>
    <w:p>
      <w:pPr>
        <w:pStyle w:val="BodyText"/>
        <w:jc w:val="both"/>
        <w:rPr>
          <w:b/>
          <w:bCs/>
          <w:sz w:val="24"/>
          <w:szCs w:val="24"/>
          <w:u w:val="single"/>
        </w:rPr>
      </w:pPr>
      <w:r>
        <w:rPr>
          <w:b/>
          <w:bCs/>
          <w:sz w:val="24"/>
          <w:szCs w:val="24"/>
          <w:u w:val="single"/>
        </w:rPr>
      </w:r>
    </w:p>
    <w:p>
      <w:pPr>
        <w:pStyle w:val="BodyText3"/>
        <w:jc w:val="both"/>
        <w:rPr/>
      </w:pPr>
      <w:r>
        <w:rPr/>
        <w:t xml:space="preserve">This project has cascading economic effects that reach well beyond the initial order.  The order for 50 MW of fuel cells begins a market transforming initiative that transcends the state of Connecticut and reaches the world.  This initiative causes an investment in fuel cell manufacturing technology that allows for the development of higher quality products and economies of scale that will translate into more cost effective products for the market.  The lower cost allows fuel cells to begin competing with traditional generation technologies and to become viable without large federal or state subsidies.  As the environmental and development advantages of fuel cells are realized, traditional power plant developers will begin purchasing and installing them, creating even more manufacturing demand which creates additional economies of scale.  As fuel cell prices continue downward, they will be used to meet the needs of three emerging energy markets around the world: green power, power quality and distributed generation.  </w:t>
      </w:r>
    </w:p>
    <w:p>
      <w:pPr>
        <w:pStyle w:val="Normal"/>
        <w:jc w:val="both"/>
        <w:rPr>
          <w:sz w:val="24"/>
          <w:szCs w:val="24"/>
        </w:rPr>
      </w:pPr>
      <w:r>
        <w:rPr>
          <w:sz w:val="24"/>
          <w:szCs w:val="24"/>
        </w:rPr>
      </w:r>
    </w:p>
    <w:p>
      <w:pPr>
        <w:pStyle w:val="Normal"/>
        <w:jc w:val="both"/>
        <w:rPr>
          <w:sz w:val="24"/>
          <w:szCs w:val="24"/>
        </w:rPr>
      </w:pPr>
      <w:r>
        <w:rPr>
          <w:sz w:val="24"/>
          <w:szCs w:val="24"/>
        </w:rPr>
        <w:t xml:space="preserve">Almost immediately Connecticut will begin noticing the effects of this market initiative.  The required manufacturing investment will necessitate new manufacturing jobs.  To operate a manufacturing facility that produces 50 MW per year of fuel cells, a manufacturer will require an additional workforce of approximately 200 people.  As orders increase and additional manufacturing capacity is added, additional jobs will be created. </w:t>
      </w:r>
    </w:p>
    <w:p>
      <w:pPr>
        <w:pStyle w:val="Normal"/>
        <w:jc w:val="both"/>
        <w:rPr>
          <w:sz w:val="24"/>
          <w:szCs w:val="24"/>
        </w:rPr>
      </w:pPr>
      <w:r>
        <w:rPr>
          <w:sz w:val="24"/>
          <w:szCs w:val="24"/>
        </w:rPr>
      </w:r>
    </w:p>
    <w:p>
      <w:pPr>
        <w:pStyle w:val="Normal"/>
        <w:jc w:val="both"/>
        <w:rPr>
          <w:sz w:val="24"/>
          <w:szCs w:val="24"/>
        </w:rPr>
      </w:pPr>
      <w:r>
        <w:rPr>
          <w:sz w:val="24"/>
          <w:szCs w:val="24"/>
        </w:rPr>
        <w:t xml:space="preserve">With the addition of manufacturing jobs comes the addition of marketing, accounting, research and consulting jobs.  With fuel cell manufacturing capabilities of 50 to 60 MW per year, Connecticut will be the largest fuel cell manufacturing region in the world and will attract other interested companies and experts.  </w:t>
      </w:r>
    </w:p>
    <w:p>
      <w:pPr>
        <w:pStyle w:val="Normal"/>
        <w:jc w:val="both"/>
        <w:rPr>
          <w:sz w:val="24"/>
          <w:szCs w:val="24"/>
        </w:rPr>
      </w:pPr>
      <w:r>
        <w:rPr>
          <w:sz w:val="24"/>
          <w:szCs w:val="24"/>
        </w:rPr>
      </w:r>
    </w:p>
    <w:p>
      <w:pPr>
        <w:pStyle w:val="Normal"/>
        <w:jc w:val="both"/>
        <w:rPr>
          <w:sz w:val="24"/>
          <w:szCs w:val="24"/>
        </w:rPr>
      </w:pPr>
      <w:r>
        <w:rPr>
          <w:sz w:val="24"/>
          <w:szCs w:val="24"/>
        </w:rPr>
        <w:t>Ten states have enacted minimum clean energy standards and virtually all states and the rest of the world has a growing concern about environmental issues.  Presently there are over $1 billion per year of various state and federal programs aimed at environmentally friendly energy resources and conservation efforts.  Compounded with infrastructure challenges such as transmission construction and generation siting, fuel cells are poised to provide emerging energy requirements.  Like wireless technology in telecommunications, fuel cells may provide energy in emerging markets and where traditional infrastructure is difficult to construct.</w:t>
      </w:r>
    </w:p>
    <w:p>
      <w:pPr>
        <w:pStyle w:val="BodyText"/>
        <w:jc w:val="both"/>
        <w:rPr>
          <w:sz w:val="24"/>
          <w:szCs w:val="24"/>
        </w:rPr>
      </w:pPr>
      <w:r>
        <w:rPr>
          <w:sz w:val="24"/>
          <w:szCs w:val="24"/>
        </w:rPr>
      </w:r>
    </w:p>
    <w:p>
      <w:pPr>
        <w:pStyle w:val="BodyText"/>
        <w:jc w:val="both"/>
        <w:rPr>
          <w:sz w:val="24"/>
          <w:szCs w:val="24"/>
        </w:rPr>
      </w:pPr>
      <w:r>
        <w:rPr>
          <w:sz w:val="24"/>
          <w:szCs w:val="24"/>
        </w:rPr>
        <w:t>Connecticut currently is home to several fuel cell companies.  An investment in this technology by and for the benefit of the state’s citizens will show Connecticut’s commitment to the environment, to green power initiatives and to alternate energy sources.  Connecticut has the opportunity to emerge as the fuel cell capital of the world.</w:t>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b/>
          <w:bCs/>
          <w:sz w:val="24"/>
          <w:szCs w:val="24"/>
          <w:u w:val="single"/>
        </w:rPr>
      </w:pPr>
      <w:r>
        <w:rPr>
          <w:b/>
          <w:bCs/>
          <w:sz w:val="24"/>
          <w:szCs w:val="24"/>
          <w:u w:val="single"/>
        </w:rPr>
        <w:t>Financing Information</w:t>
      </w:r>
    </w:p>
    <w:p>
      <w:pPr>
        <w:pStyle w:val="BodyText"/>
        <w:jc w:val="both"/>
        <w:rPr>
          <w:b/>
          <w:bCs/>
          <w:sz w:val="24"/>
          <w:szCs w:val="24"/>
          <w:u w:val="single"/>
        </w:rPr>
      </w:pPr>
      <w:r>
        <w:rPr>
          <w:b/>
          <w:bCs/>
          <w:sz w:val="24"/>
          <w:szCs w:val="24"/>
          <w:u w:val="single"/>
        </w:rPr>
      </w:r>
    </w:p>
    <w:p>
      <w:pPr>
        <w:pStyle w:val="BodyText"/>
        <w:jc w:val="both"/>
        <w:rPr>
          <w:sz w:val="24"/>
          <w:szCs w:val="24"/>
        </w:rPr>
      </w:pPr>
      <w:r>
        <w:rPr>
          <w:sz w:val="24"/>
          <w:szCs w:val="24"/>
        </w:rPr>
        <w:t>The expected installed cost of 50 MW of fuel cells is $187,000,000.  CRRA is willing to issue bonds for the total amount of the project provided that the DPUC and the electric distribution companies in the state (CL&amp;P and UI) commit a portion of the Conservation Fund proceeds each year to pay back the bonds.  Three separate payment options are listed below.</w:t>
      </w:r>
    </w:p>
    <w:p>
      <w:pPr>
        <w:pStyle w:val="BodyText"/>
        <w:jc w:val="both"/>
        <w:rPr>
          <w:sz w:val="24"/>
          <w:szCs w:val="24"/>
        </w:rPr>
      </w:pPr>
      <w:r>
        <w:rPr>
          <w:sz w:val="24"/>
          <w:szCs w:val="24"/>
        </w:rPr>
      </w:r>
    </w:p>
    <w:p>
      <w:pPr>
        <w:pStyle w:val="BodyText"/>
        <w:jc w:val="both"/>
        <w:rPr>
          <w:sz w:val="24"/>
          <w:szCs w:val="24"/>
        </w:rPr>
      </w:pPr>
      <w:r>
        <w:rPr>
          <w:sz w:val="24"/>
          <w:szCs w:val="24"/>
        </w:rPr>
      </w:r>
    </w:p>
    <w:tbl>
      <w:tblPr>
        <w:tblW w:w="7920" w:type="dxa"/>
        <w:jc w:val="start"/>
        <w:tblInd w:w="0" w:type="dxa"/>
        <w:tblLayout w:type="fixed"/>
        <w:tblCellMar>
          <w:top w:w="0" w:type="dxa"/>
          <w:start w:w="108" w:type="dxa"/>
          <w:bottom w:w="0" w:type="dxa"/>
          <w:end w:w="108" w:type="dxa"/>
        </w:tblCellMar>
      </w:tblPr>
      <w:tblGrid>
        <w:gridCol w:w="2304"/>
        <w:gridCol w:w="1872"/>
        <w:gridCol w:w="1872"/>
        <w:gridCol w:w="1872"/>
      </w:tblGrid>
      <w:tr>
        <w:trPr/>
        <w:tc>
          <w:tcPr>
            <w:tcW w:w="2304" w:type="dxa"/>
            <w:tcBorders>
              <w:top w:val="dashed" w:sz="6" w:space="0" w:color="auto"/>
              <w:start w:val="dashed" w:sz="6" w:space="0" w:color="auto"/>
              <w:bottom w:val="dashed" w:sz="6" w:space="0" w:color="auto"/>
              <w:end w:val="dashed" w:sz="6" w:space="0" w:color="auto"/>
            </w:tcBorders>
          </w:tcPr>
          <w:p>
            <w:pPr>
              <w:pStyle w:val="BodyText"/>
              <w:jc w:val="both"/>
              <w:rPr>
                <w:sz w:val="24"/>
                <w:szCs w:val="24"/>
              </w:rPr>
            </w:pPr>
            <w:r>
              <w:rPr>
                <w:sz w:val="24"/>
                <w:szCs w:val="24"/>
              </w:rPr>
              <w:t>Repayment Period:</w:t>
            </w:r>
          </w:p>
        </w:tc>
        <w:tc>
          <w:tcPr>
            <w:tcW w:w="1872" w:type="dxa"/>
            <w:tcBorders>
              <w:top w:val="dashed" w:sz="6" w:space="0" w:color="auto"/>
              <w:start w:val="dashed" w:sz="6" w:space="0" w:color="auto"/>
              <w:bottom w:val="dashed" w:sz="6" w:space="0" w:color="auto"/>
              <w:end w:val="dashed" w:sz="6" w:space="0" w:color="auto"/>
            </w:tcBorders>
          </w:tcPr>
          <w:p>
            <w:pPr>
              <w:pStyle w:val="BodyText"/>
              <w:jc w:val="both"/>
              <w:rPr>
                <w:sz w:val="24"/>
                <w:szCs w:val="24"/>
              </w:rPr>
            </w:pPr>
            <w:r>
              <w:rPr>
                <w:sz w:val="24"/>
                <w:szCs w:val="24"/>
              </w:rPr>
              <w:t>5 years</w:t>
            </w:r>
          </w:p>
        </w:tc>
        <w:tc>
          <w:tcPr>
            <w:tcW w:w="1872" w:type="dxa"/>
            <w:tcBorders>
              <w:top w:val="dashed" w:sz="6" w:space="0" w:color="auto"/>
              <w:start w:val="dashed" w:sz="6" w:space="0" w:color="auto"/>
              <w:bottom w:val="dashed" w:sz="6" w:space="0" w:color="auto"/>
              <w:end w:val="dashed" w:sz="6" w:space="0" w:color="auto"/>
            </w:tcBorders>
          </w:tcPr>
          <w:p>
            <w:pPr>
              <w:pStyle w:val="BodyText"/>
              <w:jc w:val="both"/>
              <w:rPr>
                <w:sz w:val="24"/>
                <w:szCs w:val="24"/>
              </w:rPr>
            </w:pPr>
            <w:r>
              <w:rPr>
                <w:sz w:val="24"/>
                <w:szCs w:val="24"/>
              </w:rPr>
              <w:t>7 years</w:t>
            </w:r>
          </w:p>
        </w:tc>
        <w:tc>
          <w:tcPr>
            <w:tcW w:w="1872" w:type="dxa"/>
            <w:tcBorders>
              <w:top w:val="single" w:sz="6" w:space="0" w:color="000000"/>
              <w:start w:val="single" w:sz="6" w:space="0" w:color="000000"/>
              <w:bottom w:val="dashed" w:sz="6" w:space="0" w:color="auto"/>
              <w:end w:val="single" w:sz="6" w:space="0" w:color="000000"/>
            </w:tcBorders>
          </w:tcPr>
          <w:p>
            <w:pPr>
              <w:pStyle w:val="BodyText"/>
              <w:jc w:val="both"/>
              <w:rPr>
                <w:sz w:val="24"/>
                <w:szCs w:val="24"/>
              </w:rPr>
            </w:pPr>
            <w:r>
              <w:rPr>
                <w:sz w:val="24"/>
                <w:szCs w:val="24"/>
              </w:rPr>
              <w:t>10 years</w:t>
            </w:r>
          </w:p>
        </w:tc>
      </w:tr>
      <w:tr>
        <w:trPr/>
        <w:tc>
          <w:tcPr>
            <w:tcW w:w="2304" w:type="dxa"/>
            <w:tcBorders>
              <w:top w:val="dashed" w:sz="6" w:space="0" w:color="auto"/>
              <w:start w:val="dashed" w:sz="6" w:space="0" w:color="auto"/>
              <w:bottom w:val="dashed" w:sz="6" w:space="0" w:color="auto"/>
              <w:end w:val="dashed" w:sz="6" w:space="0" w:color="auto"/>
            </w:tcBorders>
          </w:tcPr>
          <w:p>
            <w:pPr>
              <w:pStyle w:val="BodyText"/>
              <w:jc w:val="both"/>
              <w:rPr>
                <w:sz w:val="24"/>
                <w:szCs w:val="24"/>
              </w:rPr>
            </w:pPr>
            <w:r>
              <w:rPr>
                <w:sz w:val="24"/>
                <w:szCs w:val="24"/>
              </w:rPr>
              <w:t>Payment per Year *:</w:t>
            </w:r>
          </w:p>
        </w:tc>
        <w:tc>
          <w:tcPr>
            <w:tcW w:w="1872" w:type="dxa"/>
            <w:tcBorders>
              <w:top w:val="dashed" w:sz="6" w:space="0" w:color="auto"/>
              <w:start w:val="dashed" w:sz="6" w:space="0" w:color="auto"/>
              <w:bottom w:val="dashed" w:sz="6" w:space="0" w:color="auto"/>
              <w:end w:val="dashed" w:sz="6" w:space="0" w:color="auto"/>
            </w:tcBorders>
          </w:tcPr>
          <w:p>
            <w:pPr>
              <w:pStyle w:val="BodyText"/>
              <w:jc w:val="both"/>
              <w:rPr>
                <w:sz w:val="24"/>
                <w:szCs w:val="24"/>
              </w:rPr>
            </w:pPr>
            <w:r>
              <w:rPr>
                <w:sz w:val="24"/>
                <w:szCs w:val="24"/>
              </w:rPr>
              <w:t>$45.0 million</w:t>
            </w:r>
          </w:p>
        </w:tc>
        <w:tc>
          <w:tcPr>
            <w:tcW w:w="1872" w:type="dxa"/>
            <w:tcBorders>
              <w:top w:val="dashed" w:sz="6" w:space="0" w:color="auto"/>
              <w:start w:val="dashed" w:sz="6" w:space="0" w:color="auto"/>
              <w:bottom w:val="dashed" w:sz="6" w:space="0" w:color="auto"/>
              <w:end w:val="dashed" w:sz="6" w:space="0" w:color="auto"/>
            </w:tcBorders>
          </w:tcPr>
          <w:p>
            <w:pPr>
              <w:pStyle w:val="BodyText"/>
              <w:jc w:val="both"/>
              <w:rPr>
                <w:sz w:val="24"/>
                <w:szCs w:val="24"/>
              </w:rPr>
            </w:pPr>
            <w:r>
              <w:rPr>
                <w:sz w:val="24"/>
                <w:szCs w:val="24"/>
              </w:rPr>
              <w:t>$34.1 million</w:t>
            </w:r>
          </w:p>
        </w:tc>
        <w:tc>
          <w:tcPr>
            <w:tcW w:w="1872" w:type="dxa"/>
            <w:tcBorders>
              <w:top w:val="dashed" w:sz="6" w:space="0" w:color="auto"/>
              <w:start w:val="single" w:sz="6" w:space="0" w:color="000000"/>
              <w:bottom w:val="single" w:sz="6" w:space="0" w:color="000000"/>
              <w:end w:val="single" w:sz="6" w:space="0" w:color="000000"/>
            </w:tcBorders>
          </w:tcPr>
          <w:p>
            <w:pPr>
              <w:pStyle w:val="BodyText"/>
              <w:jc w:val="both"/>
              <w:rPr>
                <w:sz w:val="24"/>
                <w:szCs w:val="24"/>
              </w:rPr>
            </w:pPr>
            <w:r>
              <w:rPr>
                <w:sz w:val="24"/>
                <w:szCs w:val="24"/>
              </w:rPr>
              <w:t>$26.0 million</w:t>
            </w:r>
          </w:p>
        </w:tc>
      </w:tr>
      <w:tr>
        <w:trPr/>
        <w:tc>
          <w:tcPr>
            <w:tcW w:w="4176" w:type="dxa"/>
            <w:gridSpan w:val="2"/>
            <w:tcBorders>
              <w:top w:val="dashed" w:sz="6" w:space="0" w:color="auto"/>
              <w:start w:val="dashed" w:sz="6" w:space="0" w:color="auto"/>
              <w:bottom w:val="dashed" w:sz="6" w:space="0" w:color="auto"/>
              <w:end w:val="dashed" w:sz="6" w:space="0" w:color="auto"/>
            </w:tcBorders>
          </w:tcPr>
          <w:p>
            <w:pPr>
              <w:pStyle w:val="BodyText"/>
              <w:jc w:val="both"/>
              <w:rPr>
                <w:sz w:val="24"/>
                <w:szCs w:val="24"/>
              </w:rPr>
            </w:pPr>
            <w:r>
              <w:rPr>
                <w:i/>
                <w:iCs/>
                <w:sz w:val="24"/>
                <w:szCs w:val="24"/>
              </w:rPr>
              <w:t>*Assumed interest rate of 6.5%</w:t>
            </w:r>
          </w:p>
        </w:tc>
        <w:tc>
          <w:tcPr>
            <w:tcW w:w="1872" w:type="dxa"/>
            <w:tcBorders>
              <w:top w:val="dashed" w:sz="6" w:space="0" w:color="auto"/>
              <w:start w:val="dashed" w:sz="6" w:space="0" w:color="auto"/>
              <w:bottom w:val="dashed" w:sz="6" w:space="0" w:color="auto"/>
              <w:end w:val="dashed" w:sz="6" w:space="0" w:color="auto"/>
            </w:tcBorders>
          </w:tcPr>
          <w:p>
            <w:pPr>
              <w:pStyle w:val="BodyText"/>
              <w:snapToGrid w:val="false"/>
              <w:jc w:val="both"/>
              <w:rPr>
                <w:sz w:val="24"/>
                <w:szCs w:val="24"/>
              </w:rPr>
            </w:pPr>
            <w:r>
              <w:rPr>
                <w:sz w:val="24"/>
                <w:szCs w:val="24"/>
              </w:rPr>
            </w:r>
          </w:p>
        </w:tc>
        <w:tc>
          <w:tcPr>
            <w:tcW w:w="1872" w:type="dxa"/>
            <w:tcBorders>
              <w:top w:val="dashed" w:sz="6" w:space="0" w:color="auto"/>
              <w:start w:val="dashed" w:sz="6" w:space="0" w:color="auto"/>
              <w:bottom w:val="dashed" w:sz="6" w:space="0" w:color="auto"/>
              <w:end w:val="dashed" w:sz="6" w:space="0" w:color="auto"/>
            </w:tcBorders>
          </w:tcPr>
          <w:p>
            <w:pPr>
              <w:pStyle w:val="BodyText"/>
              <w:snapToGrid w:val="false"/>
              <w:jc w:val="both"/>
              <w:rPr>
                <w:sz w:val="24"/>
                <w:szCs w:val="24"/>
              </w:rPr>
            </w:pPr>
            <w:r>
              <w:rPr>
                <w:sz w:val="24"/>
                <w:szCs w:val="24"/>
              </w:rPr>
            </w:r>
          </w:p>
        </w:tc>
      </w:tr>
    </w:tbl>
    <w:p>
      <w:pPr>
        <w:pStyle w:val="BodyText"/>
        <w:jc w:val="both"/>
        <w:rPr>
          <w:sz w:val="24"/>
          <w:szCs w:val="24"/>
        </w:rPr>
      </w:pPr>
      <w:r>
        <w:rPr>
          <w:sz w:val="24"/>
          <w:szCs w:val="24"/>
        </w:rPr>
      </w:r>
    </w:p>
    <w:p>
      <w:pPr>
        <w:pStyle w:val="BodyText"/>
        <w:jc w:val="both"/>
        <w:rPr>
          <w:sz w:val="24"/>
          <w:szCs w:val="24"/>
        </w:rPr>
      </w:pPr>
      <w:r>
        <w:rPr>
          <w:sz w:val="24"/>
          <w:szCs w:val="24"/>
        </w:rPr>
        <w:t>The ten-year repayment schedule has a minimal impact on the plans of the electric distribution companies to utilize the balance of the Conservation Fund proceeds for additional conservation and load management programs.</w:t>
      </w:r>
    </w:p>
    <w:p>
      <w:pPr>
        <w:pStyle w:val="BodyText"/>
        <w:jc w:val="both"/>
        <w:rPr>
          <w:sz w:val="24"/>
          <w:szCs w:val="24"/>
        </w:rPr>
      </w:pPr>
      <w:r>
        <w:rPr>
          <w:sz w:val="24"/>
          <w:szCs w:val="24"/>
        </w:rPr>
      </w:r>
    </w:p>
    <w:p>
      <w:pPr>
        <w:pStyle w:val="BodyText"/>
        <w:jc w:val="both"/>
        <w:rPr>
          <w:sz w:val="24"/>
          <w:szCs w:val="24"/>
        </w:rPr>
      </w:pPr>
      <w:r>
        <w:rPr>
          <w:sz w:val="24"/>
          <w:szCs w:val="24"/>
        </w:rPr>
        <w:t>Furthermore, ENA, as project manager and technical advisor to CRRA, agrees to mitigate the risk of such a large investment in a relatively new technology in order to protect the financial interests of the State and its citizens.  If any individual fuel cell power plant fails to meet the performance standards required for acceptance testing, ENA will refund a pro rata portion of the plant’s cost back to the State, less a development fee, and the State will have the right to cancel the project or continue forward.</w:t>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b/>
          <w:bCs/>
          <w:sz w:val="24"/>
          <w:szCs w:val="24"/>
          <w:u w:val="single"/>
        </w:rPr>
      </w:pPr>
      <w:r>
        <w:rPr>
          <w:b/>
          <w:bCs/>
          <w:sz w:val="24"/>
          <w:szCs w:val="24"/>
          <w:u w:val="single"/>
        </w:rPr>
        <w:t>Plan Benefits</w:t>
      </w:r>
    </w:p>
    <w:p>
      <w:pPr>
        <w:pStyle w:val="BodyText"/>
        <w:jc w:val="both"/>
        <w:rPr>
          <w:b/>
          <w:bCs/>
          <w:sz w:val="24"/>
          <w:szCs w:val="24"/>
          <w:u w:val="single"/>
        </w:rPr>
      </w:pPr>
      <w:r>
        <w:rPr>
          <w:b/>
          <w:bCs/>
          <w:sz w:val="24"/>
          <w:szCs w:val="24"/>
          <w:u w:val="single"/>
        </w:rPr>
      </w:r>
    </w:p>
    <w:p>
      <w:pPr>
        <w:pStyle w:val="BodyText"/>
        <w:jc w:val="both"/>
        <w:rPr>
          <w:sz w:val="24"/>
          <w:szCs w:val="24"/>
        </w:rPr>
      </w:pPr>
      <w:r>
        <w:rPr>
          <w:sz w:val="24"/>
          <w:szCs w:val="24"/>
        </w:rPr>
        <w:t xml:space="preserve">The Connecticut legislature mandated the use of green power resources and set up a mechanism to collect funds to be dedicated to developing green power technologies.  CRRA and ENA’s plan fulfills this legislative requirement and offers the most benefits to the citizens of Connecticut.  </w:t>
      </w:r>
    </w:p>
    <w:p>
      <w:pPr>
        <w:pStyle w:val="BodyText"/>
        <w:numPr>
          <w:ilvl w:val="0"/>
          <w:numId w:val="2"/>
        </w:numPr>
        <w:tabs>
          <w:tab w:val="clear" w:pos="720"/>
          <w:tab w:val="left" w:pos="0" w:leader="none"/>
        </w:tabs>
        <w:ind w:hanging="720" w:start="720" w:end="0"/>
        <w:jc w:val="both"/>
        <w:rPr>
          <w:sz w:val="24"/>
          <w:szCs w:val="24"/>
        </w:rPr>
      </w:pPr>
      <w:r>
        <w:rPr>
          <w:sz w:val="24"/>
          <w:szCs w:val="24"/>
        </w:rPr>
        <w:t xml:space="preserve">By supplying an initial requirement of Class I renewables, CRRA immediately opens the retail power market to competitive suppliers who otherwise could not pursue Connecticut retail customers because of the portfolio requirements, resulting in lower rates for ratepayers.  </w:t>
      </w:r>
    </w:p>
    <w:p>
      <w:pPr>
        <w:pStyle w:val="BodyText"/>
        <w:numPr>
          <w:ilvl w:val="0"/>
          <w:numId w:val="0"/>
        </w:numPr>
        <w:ind w:hanging="0" w:start="0"/>
        <w:jc w:val="both"/>
        <w:rPr>
          <w:sz w:val="24"/>
          <w:szCs w:val="24"/>
        </w:rPr>
      </w:pPr>
      <w:r>
        <w:rPr>
          <w:sz w:val="24"/>
          <w:szCs w:val="24"/>
        </w:rPr>
      </w:r>
    </w:p>
    <w:p>
      <w:pPr>
        <w:pStyle w:val="BodyText"/>
        <w:numPr>
          <w:ilvl w:val="0"/>
          <w:numId w:val="2"/>
        </w:numPr>
        <w:tabs>
          <w:tab w:val="clear" w:pos="720"/>
          <w:tab w:val="left" w:pos="0" w:leader="none"/>
        </w:tabs>
        <w:ind w:hanging="720" w:start="720" w:end="0"/>
        <w:jc w:val="both"/>
        <w:rPr>
          <w:sz w:val="24"/>
          <w:szCs w:val="24"/>
        </w:rPr>
      </w:pPr>
      <w:r>
        <w:rPr>
          <w:sz w:val="24"/>
          <w:szCs w:val="24"/>
        </w:rPr>
        <w:t xml:space="preserve">Committing to build and operate fuel cell farms utilizes green power technologies, resulting in a cleaner environment.  </w:t>
      </w:r>
    </w:p>
    <w:p>
      <w:pPr>
        <w:pStyle w:val="BodyText"/>
        <w:numPr>
          <w:ilvl w:val="0"/>
          <w:numId w:val="0"/>
        </w:numPr>
        <w:ind w:hanging="0" w:start="0"/>
        <w:jc w:val="both"/>
        <w:rPr>
          <w:sz w:val="24"/>
          <w:szCs w:val="24"/>
        </w:rPr>
      </w:pPr>
      <w:r>
        <w:rPr>
          <w:sz w:val="24"/>
          <w:szCs w:val="24"/>
        </w:rPr>
      </w:r>
    </w:p>
    <w:p>
      <w:pPr>
        <w:pStyle w:val="BodyText"/>
        <w:numPr>
          <w:ilvl w:val="0"/>
          <w:numId w:val="2"/>
        </w:numPr>
        <w:tabs>
          <w:tab w:val="clear" w:pos="720"/>
          <w:tab w:val="left" w:pos="0" w:leader="none"/>
        </w:tabs>
        <w:ind w:hanging="720" w:start="720" w:end="0"/>
        <w:jc w:val="both"/>
        <w:rPr>
          <w:sz w:val="24"/>
          <w:szCs w:val="24"/>
        </w:rPr>
      </w:pPr>
      <w:r>
        <w:rPr>
          <w:sz w:val="24"/>
          <w:szCs w:val="24"/>
        </w:rPr>
        <w:t xml:space="preserve">A production order of this size will encourage efficiencies in manufacturing, resulting in lower cost of fuel cells in the future, making fuel cells an economically viable generation alternative.  </w:t>
      </w:r>
    </w:p>
    <w:p>
      <w:pPr>
        <w:pStyle w:val="BodyText"/>
        <w:numPr>
          <w:ilvl w:val="0"/>
          <w:numId w:val="0"/>
        </w:numPr>
        <w:ind w:hanging="0" w:start="0"/>
        <w:jc w:val="both"/>
        <w:rPr>
          <w:sz w:val="24"/>
          <w:szCs w:val="24"/>
        </w:rPr>
      </w:pPr>
      <w:r>
        <w:rPr>
          <w:sz w:val="24"/>
          <w:szCs w:val="24"/>
        </w:rPr>
      </w:r>
    </w:p>
    <w:p>
      <w:pPr>
        <w:pStyle w:val="BodyText"/>
        <w:numPr>
          <w:ilvl w:val="0"/>
          <w:numId w:val="2"/>
        </w:numPr>
        <w:tabs>
          <w:tab w:val="clear" w:pos="720"/>
          <w:tab w:val="left" w:pos="0" w:leader="none"/>
        </w:tabs>
        <w:ind w:hanging="720" w:start="720" w:end="0"/>
        <w:jc w:val="both"/>
        <w:rPr>
          <w:sz w:val="24"/>
          <w:szCs w:val="24"/>
        </w:rPr>
      </w:pPr>
      <w:r>
        <w:rPr>
          <w:sz w:val="24"/>
          <w:szCs w:val="24"/>
        </w:rPr>
        <w:t xml:space="preserve">A large order of fuel cells also spurs jobs within Connecticut as a fuel cell company grows to keep pace with this expanding market share on the wholesale and distributed generation business.  </w:t>
      </w:r>
    </w:p>
    <w:p>
      <w:pPr>
        <w:pStyle w:val="BodyText"/>
        <w:numPr>
          <w:ilvl w:val="0"/>
          <w:numId w:val="0"/>
        </w:numPr>
        <w:ind w:hanging="0" w:start="0"/>
        <w:jc w:val="both"/>
        <w:rPr>
          <w:sz w:val="24"/>
          <w:szCs w:val="24"/>
        </w:rPr>
      </w:pPr>
      <w:r>
        <w:rPr>
          <w:sz w:val="24"/>
          <w:szCs w:val="24"/>
        </w:rPr>
      </w:r>
    </w:p>
    <w:p>
      <w:pPr>
        <w:pStyle w:val="BodyText"/>
        <w:numPr>
          <w:ilvl w:val="0"/>
          <w:numId w:val="2"/>
        </w:numPr>
        <w:tabs>
          <w:tab w:val="clear" w:pos="720"/>
          <w:tab w:val="left" w:pos="0" w:leader="none"/>
        </w:tabs>
        <w:ind w:hanging="360" w:start="720" w:end="0"/>
        <w:jc w:val="both"/>
        <w:rPr>
          <w:sz w:val="24"/>
          <w:szCs w:val="24"/>
        </w:rPr>
      </w:pPr>
      <w:r>
        <w:rPr>
          <w:sz w:val="24"/>
          <w:szCs w:val="24"/>
        </w:rPr>
        <w:t>Finally, as one of the first states in the U.S. to deregulate its power industry and to require green power resources, Connecticut stands to serve as a benchmark for deregulation and green power initiatives throughout the county.</w:t>
      </w:r>
    </w:p>
    <w:p>
      <w:pPr>
        <w:pStyle w:val="Normal"/>
        <w:rPr>
          <w:sz w:val="24"/>
          <w:szCs w:val="24"/>
        </w:rPr>
      </w:pPr>
      <w:r>
        <w:rPr>
          <w:sz w:val="24"/>
          <w:szCs w:val="24"/>
        </w:rPr>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sz w:val="24"/>
          <w:szCs w:val="24"/>
        </w:rPr>
      </w:pPr>
      <w:r>
        <w:rPr>
          <w:sz w:val="24"/>
          <w:szCs w:val="24"/>
        </w:rPr>
      </w:r>
    </w:p>
    <w:p>
      <w:pPr>
        <w:pStyle w:val="BodyText"/>
        <w:jc w:val="both"/>
        <w:rPr>
          <w:b/>
          <w:bCs/>
          <w:sz w:val="24"/>
          <w:szCs w:val="24"/>
          <w:u w:val="single"/>
        </w:rPr>
      </w:pPr>
      <w:r>
        <w:rPr>
          <w:b/>
          <w:bCs/>
          <w:sz w:val="24"/>
          <w:szCs w:val="24"/>
          <w:u w:val="single"/>
        </w:rPr>
        <w:t>Benefits of Fuel Cells</w:t>
      </w:r>
    </w:p>
    <w:p>
      <w:pPr>
        <w:pStyle w:val="BodyText"/>
        <w:jc w:val="both"/>
        <w:rPr>
          <w:b/>
          <w:bCs/>
          <w:sz w:val="24"/>
          <w:szCs w:val="24"/>
          <w:u w:val="single"/>
        </w:rPr>
      </w:pPr>
      <w:r>
        <w:rPr>
          <w:b/>
          <w:bCs/>
          <w:sz w:val="24"/>
          <w:szCs w:val="24"/>
          <w:u w:val="single"/>
        </w:rPr>
      </w:r>
    </w:p>
    <w:p>
      <w:pPr>
        <w:pStyle w:val="BodyText"/>
        <w:jc w:val="both"/>
        <w:rPr>
          <w:sz w:val="24"/>
          <w:szCs w:val="24"/>
        </w:rPr>
      </w:pPr>
      <w:r>
        <w:rPr>
          <w:sz w:val="24"/>
          <w:szCs w:val="24"/>
        </w:rPr>
        <w:t>Fuel cells were chosen over the other Class I resources for several reasons.  Most importantly, it is difficult, if not impossible, to reach the MW requirements within Connecticut utilizing the other Class I sources.  Solar and wind technologies are not well suited for Connecticut geographically.  The state does not experience the intense sun and wind needed to make these technologies work.  Developing solar and wind sources outside of the state does not help Connecticut air quality, which is the primary reason for a green power requirement.  Opportunities for power generated from landfill gas and biomass sources are also limited throughout the state.  Fuel cells are the clear choice to develop green power resources in the state of Connecticut.</w:t>
      </w:r>
    </w:p>
    <w:p>
      <w:pPr>
        <w:pStyle w:val="BodyText"/>
        <w:jc w:val="both"/>
        <w:rPr>
          <w:sz w:val="24"/>
          <w:szCs w:val="24"/>
        </w:rPr>
      </w:pPr>
      <w:r>
        <w:rPr>
          <w:sz w:val="24"/>
          <w:szCs w:val="24"/>
        </w:rPr>
      </w:r>
    </w:p>
    <w:p>
      <w:pPr>
        <w:pStyle w:val="BodyText"/>
        <w:jc w:val="both"/>
        <w:rPr>
          <w:sz w:val="24"/>
          <w:szCs w:val="24"/>
        </w:rPr>
      </w:pPr>
      <w:r>
        <w:rPr>
          <w:sz w:val="24"/>
          <w:szCs w:val="24"/>
        </w:rPr>
        <w:t>The fuel cell farms serve two important functions:  Green power resources to improve air quality and environmental protection and distributed generation to boost grid stability and ease congestion.  Presently the area of Southwestern Connecticut experiences transmission constraints during certain load and generation patterns.  This congestion and other congestion areas within Nepool cause what is know as Uplift, a charge assessed to all customers for higher-priced generation required to relieve congestion.  This condition has caused Nepool to develop a congestion management system, which when implemented will provide economic incentives for generators to locate within congested areas.  Since many congested zones are also areas of large population or industry, permitting conventional generation becomes a challenge from air quality, noise and construction aspects.  Fuel cells, like other distributed generation technology, may become a viable solution to the congestion problem.  Fuel cells have the added benefits of being extremely clean, noise free, efficient and comply as a Class I resource.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r>
        <w:br w:type="page"/>
      </w:r>
    </w:p>
    <w:p>
      <w:pPr>
        <w:pStyle w:val="Normal"/>
        <w:jc w:val="center"/>
        <w:rPr>
          <w:b/>
          <w:bCs/>
          <w:sz w:val="32"/>
          <w:szCs w:val="32"/>
        </w:rPr>
      </w:pPr>
      <w:r>
        <w:rPr>
          <w:b/>
          <w:bCs/>
          <w:sz w:val="32"/>
          <w:szCs w:val="32"/>
        </w:rPr>
        <w:t>Exhibit 1</w:t>
      </w:r>
    </w:p>
    <w:p>
      <w:pPr>
        <w:pStyle w:val="Normal"/>
        <w:jc w:val="center"/>
        <w:rPr>
          <w:b/>
          <w:bCs/>
          <w:sz w:val="32"/>
          <w:szCs w:val="32"/>
        </w:rPr>
      </w:pPr>
      <w:r>
        <w:rPr>
          <w:b/>
          <w:bCs/>
          <w:sz w:val="32"/>
          <w:szCs w:val="32"/>
        </w:rPr>
        <w:t>Connecticut Renewable Requirements</w:t>
      </w:r>
    </w:p>
    <w:p>
      <w:pPr>
        <w:pStyle w:val="Normal"/>
        <w:rPr>
          <w:b/>
          <w:bCs/>
          <w:sz w:val="24"/>
          <w:szCs w:val="24"/>
        </w:rPr>
      </w:pPr>
      <w:r>
        <w:rPr>
          <w:b/>
          <w:bCs/>
          <w:sz w:val="24"/>
          <w:szCs w:val="24"/>
        </w:rPr>
      </w:r>
    </w:p>
    <w:p>
      <w:pPr>
        <w:pStyle w:val="Normal"/>
        <w:rPr>
          <w:sz w:val="24"/>
          <w:szCs w:val="24"/>
        </w:rPr>
      </w:pPr>
      <w:r>
        <w:rPr>
          <w:sz w:val="24"/>
          <w:szCs w:val="24"/>
        </w:rPr>
      </w:r>
    </w:p>
    <w:p>
      <w:pPr>
        <w:pStyle w:val="Normal"/>
        <w:jc w:val="both"/>
        <w:rPr>
          <w:sz w:val="24"/>
          <w:szCs w:val="24"/>
        </w:rPr>
      </w:pPr>
      <w:r>
        <w:rPr>
          <w:sz w:val="24"/>
          <w:szCs w:val="24"/>
        </w:rPr>
        <w:t>The total Class I and Class II requirements for the state’s load are listed below.</w:t>
      </w:r>
    </w:p>
    <w:p>
      <w:pPr>
        <w:pStyle w:val="Normal"/>
        <w:rPr>
          <w:sz w:val="24"/>
          <w:szCs w:val="24"/>
        </w:rPr>
      </w:pPr>
      <w:r>
        <w:rPr>
          <w:sz w:val="24"/>
          <w:szCs w:val="24"/>
        </w:rPr>
      </w:r>
    </w:p>
    <w:p>
      <w:pPr>
        <w:pStyle w:val="Normal"/>
        <w:rPr>
          <w:sz w:val="24"/>
          <w:szCs w:val="24"/>
        </w:rPr>
      </w:pPr>
      <w:r>
        <w:rPr>
          <w:sz w:val="24"/>
          <w:szCs w:val="24"/>
        </w:rPr>
      </w:r>
    </w:p>
    <w:tbl>
      <w:tblPr>
        <w:tblW w:w="9000" w:type="dxa"/>
        <w:jc w:val="start"/>
        <w:tblInd w:w="0" w:type="dxa"/>
        <w:tblLayout w:type="fixed"/>
        <w:tblCellMar>
          <w:top w:w="0" w:type="dxa"/>
          <w:start w:w="108" w:type="dxa"/>
          <w:bottom w:w="0" w:type="dxa"/>
          <w:end w:w="108" w:type="dxa"/>
        </w:tblCellMar>
      </w:tblPr>
      <w:tblGrid>
        <w:gridCol w:w="1296"/>
        <w:gridCol w:w="1296"/>
        <w:gridCol w:w="1476"/>
        <w:gridCol w:w="1721"/>
        <w:gridCol w:w="7"/>
        <w:gridCol w:w="1476"/>
        <w:gridCol w:w="1714"/>
        <w:gridCol w:w="14"/>
      </w:tblGrid>
      <w:tr>
        <w:trPr/>
        <w:tc>
          <w:tcPr>
            <w:tcW w:w="1296" w:type="dxa"/>
            <w:tcBorders/>
          </w:tcPr>
          <w:p>
            <w:pPr>
              <w:pStyle w:val="Normal"/>
              <w:snapToGrid w:val="false"/>
              <w:jc w:val="center"/>
              <w:rPr>
                <w:b/>
                <w:bCs/>
                <w:sz w:val="24"/>
                <w:szCs w:val="24"/>
              </w:rPr>
            </w:pPr>
            <w:r>
              <w:rPr>
                <w:b/>
                <w:bCs/>
                <w:sz w:val="24"/>
                <w:szCs w:val="24"/>
              </w:rPr>
            </w:r>
          </w:p>
        </w:tc>
        <w:tc>
          <w:tcPr>
            <w:tcW w:w="1296" w:type="dxa"/>
            <w:tcBorders/>
          </w:tcPr>
          <w:p>
            <w:pPr>
              <w:pStyle w:val="Normal"/>
              <w:snapToGrid w:val="false"/>
              <w:jc w:val="center"/>
              <w:rPr>
                <w:b/>
                <w:bCs/>
                <w:sz w:val="24"/>
                <w:szCs w:val="24"/>
              </w:rPr>
            </w:pPr>
            <w:r>
              <w:rPr>
                <w:b/>
                <w:bCs/>
                <w:sz w:val="24"/>
                <w:szCs w:val="24"/>
              </w:rPr>
            </w:r>
          </w:p>
        </w:tc>
        <w:tc>
          <w:tcPr>
            <w:tcW w:w="3197" w:type="dxa"/>
            <w:gridSpan w:val="2"/>
            <w:tcBorders/>
          </w:tcPr>
          <w:p>
            <w:pPr>
              <w:pStyle w:val="Normal"/>
              <w:pBdr>
                <w:bottom w:val="single" w:sz="6" w:space="1" w:color="000000"/>
              </w:pBdr>
              <w:jc w:val="center"/>
              <w:rPr>
                <w:b/>
                <w:bCs/>
                <w:sz w:val="24"/>
                <w:szCs w:val="24"/>
              </w:rPr>
            </w:pPr>
            <w:r>
              <w:rPr>
                <w:b/>
                <w:bCs/>
                <w:sz w:val="24"/>
                <w:szCs w:val="24"/>
              </w:rPr>
              <w:t>Class I Renewables</w:t>
            </w:r>
          </w:p>
        </w:tc>
        <w:tc>
          <w:tcPr>
            <w:tcW w:w="3197" w:type="dxa"/>
            <w:gridSpan w:val="3"/>
            <w:tcBorders/>
          </w:tcPr>
          <w:p>
            <w:pPr>
              <w:pStyle w:val="Normal"/>
              <w:pBdr>
                <w:bottom w:val="single" w:sz="6" w:space="1" w:color="000000"/>
              </w:pBdr>
              <w:jc w:val="center"/>
              <w:rPr>
                <w:b/>
                <w:bCs/>
                <w:sz w:val="24"/>
                <w:szCs w:val="24"/>
              </w:rPr>
            </w:pPr>
            <w:r>
              <w:rPr>
                <w:b/>
                <w:bCs/>
                <w:sz w:val="24"/>
                <w:szCs w:val="24"/>
              </w:rPr>
              <w:t>Class I or II Renewables</w:t>
            </w:r>
          </w:p>
        </w:tc>
      </w:tr>
      <w:tr>
        <w:trPr/>
        <w:tc>
          <w:tcPr>
            <w:tcW w:w="1296" w:type="dxa"/>
            <w:tcBorders/>
          </w:tcPr>
          <w:p>
            <w:pPr>
              <w:pStyle w:val="Normal"/>
              <w:pBdr>
                <w:bottom w:val="single" w:sz="6" w:space="1" w:color="000000"/>
              </w:pBdr>
              <w:jc w:val="center"/>
              <w:rPr>
                <w:sz w:val="24"/>
                <w:szCs w:val="24"/>
              </w:rPr>
            </w:pPr>
            <w:r>
              <w:rPr>
                <w:sz w:val="24"/>
                <w:szCs w:val="24"/>
              </w:rPr>
              <w:t>From</w:t>
            </w:r>
          </w:p>
        </w:tc>
        <w:tc>
          <w:tcPr>
            <w:tcW w:w="1296" w:type="dxa"/>
            <w:tcBorders/>
          </w:tcPr>
          <w:p>
            <w:pPr>
              <w:pStyle w:val="Normal"/>
              <w:pBdr>
                <w:bottom w:val="single" w:sz="6" w:space="1" w:color="000000"/>
              </w:pBdr>
              <w:jc w:val="center"/>
              <w:rPr>
                <w:sz w:val="24"/>
                <w:szCs w:val="24"/>
              </w:rPr>
            </w:pPr>
            <w:r>
              <w:rPr>
                <w:sz w:val="24"/>
                <w:szCs w:val="24"/>
              </w:rPr>
              <w:t>To</w:t>
            </w:r>
          </w:p>
        </w:tc>
        <w:tc>
          <w:tcPr>
            <w:tcW w:w="1476" w:type="dxa"/>
            <w:tcBorders/>
          </w:tcPr>
          <w:p>
            <w:pPr>
              <w:pStyle w:val="Normal"/>
              <w:pBdr>
                <w:bottom w:val="single" w:sz="6" w:space="1" w:color="000000"/>
              </w:pBdr>
              <w:jc w:val="center"/>
              <w:rPr>
                <w:sz w:val="24"/>
                <w:szCs w:val="24"/>
              </w:rPr>
            </w:pPr>
            <w:r>
              <w:rPr>
                <w:sz w:val="24"/>
                <w:szCs w:val="24"/>
              </w:rPr>
              <w:t>% Required</w:t>
            </w:r>
          </w:p>
        </w:tc>
        <w:tc>
          <w:tcPr>
            <w:tcW w:w="1728" w:type="dxa"/>
            <w:gridSpan w:val="2"/>
            <w:tcBorders/>
          </w:tcPr>
          <w:p>
            <w:pPr>
              <w:pStyle w:val="Normal"/>
              <w:pBdr>
                <w:bottom w:val="single" w:sz="6" w:space="1" w:color="000000"/>
              </w:pBdr>
              <w:jc w:val="center"/>
              <w:rPr>
                <w:sz w:val="24"/>
                <w:szCs w:val="24"/>
              </w:rPr>
            </w:pPr>
            <w:r>
              <w:rPr>
                <w:sz w:val="24"/>
                <w:szCs w:val="24"/>
              </w:rPr>
              <w:t>MW Required</w:t>
            </w:r>
          </w:p>
        </w:tc>
        <w:tc>
          <w:tcPr>
            <w:tcW w:w="1476" w:type="dxa"/>
            <w:tcBorders/>
          </w:tcPr>
          <w:p>
            <w:pPr>
              <w:pStyle w:val="Normal"/>
              <w:pBdr>
                <w:bottom w:val="single" w:sz="6" w:space="1" w:color="000000"/>
              </w:pBdr>
              <w:jc w:val="center"/>
              <w:rPr>
                <w:sz w:val="24"/>
                <w:szCs w:val="24"/>
              </w:rPr>
            </w:pPr>
            <w:r>
              <w:rPr>
                <w:sz w:val="24"/>
                <w:szCs w:val="24"/>
              </w:rPr>
              <w:t>% Required</w:t>
            </w:r>
          </w:p>
        </w:tc>
        <w:tc>
          <w:tcPr>
            <w:tcW w:w="1728" w:type="dxa"/>
            <w:tcBorders/>
          </w:tcPr>
          <w:p>
            <w:pPr>
              <w:pStyle w:val="Normal"/>
              <w:pBdr>
                <w:bottom w:val="single" w:sz="6" w:space="1" w:color="000000"/>
              </w:pBdr>
              <w:jc w:val="center"/>
              <w:rPr>
                <w:sz w:val="24"/>
                <w:szCs w:val="24"/>
              </w:rPr>
            </w:pPr>
            <w:r>
              <w:rPr>
                <w:sz w:val="24"/>
                <w:szCs w:val="24"/>
              </w:rPr>
              <w:t>MW Required</w:t>
            </w:r>
          </w:p>
        </w:tc>
      </w:tr>
      <w:tr>
        <w:trPr/>
        <w:tc>
          <w:tcPr>
            <w:tcW w:w="1296" w:type="dxa"/>
            <w:tcBorders/>
          </w:tcPr>
          <w:p>
            <w:pPr>
              <w:pStyle w:val="Normal"/>
              <w:jc w:val="center"/>
              <w:rPr>
                <w:sz w:val="24"/>
                <w:szCs w:val="24"/>
              </w:rPr>
            </w:pPr>
            <w:r>
              <w:rPr>
                <w:sz w:val="24"/>
                <w:szCs w:val="24"/>
              </w:rPr>
              <w:t>1/1/00</w:t>
            </w:r>
          </w:p>
        </w:tc>
        <w:tc>
          <w:tcPr>
            <w:tcW w:w="1296" w:type="dxa"/>
            <w:tcBorders/>
          </w:tcPr>
          <w:p>
            <w:pPr>
              <w:pStyle w:val="Normal"/>
              <w:jc w:val="center"/>
              <w:rPr>
                <w:sz w:val="24"/>
                <w:szCs w:val="24"/>
              </w:rPr>
            </w:pPr>
            <w:r>
              <w:rPr>
                <w:sz w:val="24"/>
                <w:szCs w:val="24"/>
              </w:rPr>
              <w:t>6/30/01</w:t>
            </w:r>
          </w:p>
        </w:tc>
        <w:tc>
          <w:tcPr>
            <w:tcW w:w="1476" w:type="dxa"/>
            <w:tcBorders/>
          </w:tcPr>
          <w:p>
            <w:pPr>
              <w:pStyle w:val="Normal"/>
              <w:jc w:val="center"/>
              <w:rPr>
                <w:sz w:val="24"/>
                <w:szCs w:val="24"/>
              </w:rPr>
            </w:pPr>
            <w:r>
              <w:rPr>
                <w:sz w:val="24"/>
                <w:szCs w:val="24"/>
              </w:rPr>
              <w:t>0.50%</w:t>
            </w:r>
          </w:p>
        </w:tc>
        <w:tc>
          <w:tcPr>
            <w:tcW w:w="1728" w:type="dxa"/>
            <w:gridSpan w:val="2"/>
            <w:tcBorders/>
          </w:tcPr>
          <w:p>
            <w:pPr>
              <w:pStyle w:val="Normal"/>
              <w:jc w:val="center"/>
              <w:rPr>
                <w:sz w:val="24"/>
                <w:szCs w:val="24"/>
              </w:rPr>
            </w:pPr>
            <w:r>
              <w:rPr>
                <w:sz w:val="24"/>
                <w:szCs w:val="24"/>
              </w:rPr>
              <w:t>29.0</w:t>
            </w:r>
          </w:p>
        </w:tc>
        <w:tc>
          <w:tcPr>
            <w:tcW w:w="1476" w:type="dxa"/>
            <w:tcBorders/>
          </w:tcPr>
          <w:p>
            <w:pPr>
              <w:pStyle w:val="Normal"/>
              <w:jc w:val="center"/>
              <w:rPr>
                <w:sz w:val="24"/>
                <w:szCs w:val="24"/>
              </w:rPr>
            </w:pPr>
            <w:r>
              <w:rPr>
                <w:sz w:val="24"/>
                <w:szCs w:val="24"/>
              </w:rPr>
              <w:t>5.50%</w:t>
            </w:r>
          </w:p>
        </w:tc>
        <w:tc>
          <w:tcPr>
            <w:tcW w:w="1728" w:type="dxa"/>
            <w:tcBorders/>
          </w:tcPr>
          <w:p>
            <w:pPr>
              <w:pStyle w:val="Normal"/>
              <w:jc w:val="center"/>
              <w:rPr>
                <w:sz w:val="24"/>
                <w:szCs w:val="24"/>
              </w:rPr>
            </w:pPr>
            <w:r>
              <w:rPr>
                <w:sz w:val="24"/>
                <w:szCs w:val="24"/>
              </w:rPr>
              <w:t>319.0</w:t>
            </w:r>
          </w:p>
        </w:tc>
      </w:tr>
      <w:tr>
        <w:trPr/>
        <w:tc>
          <w:tcPr>
            <w:tcW w:w="1296" w:type="dxa"/>
            <w:tcBorders/>
          </w:tcPr>
          <w:p>
            <w:pPr>
              <w:pStyle w:val="Normal"/>
              <w:jc w:val="center"/>
              <w:rPr>
                <w:sz w:val="24"/>
                <w:szCs w:val="24"/>
              </w:rPr>
            </w:pPr>
            <w:r>
              <w:rPr>
                <w:sz w:val="24"/>
                <w:szCs w:val="24"/>
              </w:rPr>
              <w:t>7/1/01</w:t>
            </w:r>
          </w:p>
        </w:tc>
        <w:tc>
          <w:tcPr>
            <w:tcW w:w="1296" w:type="dxa"/>
            <w:tcBorders/>
          </w:tcPr>
          <w:p>
            <w:pPr>
              <w:pStyle w:val="Normal"/>
              <w:jc w:val="center"/>
              <w:rPr>
                <w:sz w:val="24"/>
                <w:szCs w:val="24"/>
              </w:rPr>
            </w:pPr>
            <w:r>
              <w:rPr>
                <w:sz w:val="24"/>
                <w:szCs w:val="24"/>
              </w:rPr>
              <w:t>6/30/02</w:t>
            </w:r>
          </w:p>
        </w:tc>
        <w:tc>
          <w:tcPr>
            <w:tcW w:w="1476" w:type="dxa"/>
            <w:tcBorders/>
          </w:tcPr>
          <w:p>
            <w:pPr>
              <w:pStyle w:val="Normal"/>
              <w:jc w:val="center"/>
              <w:rPr>
                <w:sz w:val="24"/>
                <w:szCs w:val="24"/>
              </w:rPr>
            </w:pPr>
            <w:r>
              <w:rPr>
                <w:sz w:val="24"/>
                <w:szCs w:val="24"/>
              </w:rPr>
              <w:t>0.75%</w:t>
            </w:r>
          </w:p>
        </w:tc>
        <w:tc>
          <w:tcPr>
            <w:tcW w:w="1728" w:type="dxa"/>
            <w:gridSpan w:val="2"/>
            <w:tcBorders/>
          </w:tcPr>
          <w:p>
            <w:pPr>
              <w:pStyle w:val="Normal"/>
              <w:jc w:val="center"/>
              <w:rPr>
                <w:sz w:val="24"/>
                <w:szCs w:val="24"/>
              </w:rPr>
            </w:pPr>
            <w:r>
              <w:rPr>
                <w:sz w:val="24"/>
                <w:szCs w:val="24"/>
              </w:rPr>
              <w:t>43.5</w:t>
            </w:r>
          </w:p>
        </w:tc>
        <w:tc>
          <w:tcPr>
            <w:tcW w:w="1476" w:type="dxa"/>
            <w:tcBorders/>
          </w:tcPr>
          <w:p>
            <w:pPr>
              <w:pStyle w:val="Normal"/>
              <w:jc w:val="center"/>
              <w:rPr>
                <w:sz w:val="24"/>
                <w:szCs w:val="24"/>
              </w:rPr>
            </w:pPr>
            <w:r>
              <w:rPr>
                <w:sz w:val="24"/>
                <w:szCs w:val="24"/>
              </w:rPr>
              <w:t>5.50%</w:t>
            </w:r>
          </w:p>
        </w:tc>
        <w:tc>
          <w:tcPr>
            <w:tcW w:w="1728" w:type="dxa"/>
            <w:tcBorders/>
          </w:tcPr>
          <w:p>
            <w:pPr>
              <w:pStyle w:val="Normal"/>
              <w:jc w:val="center"/>
              <w:rPr>
                <w:sz w:val="24"/>
                <w:szCs w:val="24"/>
              </w:rPr>
            </w:pPr>
            <w:r>
              <w:rPr>
                <w:sz w:val="24"/>
                <w:szCs w:val="24"/>
              </w:rPr>
              <w:t>319.0</w:t>
            </w:r>
          </w:p>
        </w:tc>
      </w:tr>
      <w:tr>
        <w:trPr/>
        <w:tc>
          <w:tcPr>
            <w:tcW w:w="1296" w:type="dxa"/>
            <w:tcBorders/>
          </w:tcPr>
          <w:p>
            <w:pPr>
              <w:pStyle w:val="Normal"/>
              <w:jc w:val="center"/>
              <w:rPr>
                <w:sz w:val="24"/>
                <w:szCs w:val="24"/>
              </w:rPr>
            </w:pPr>
            <w:r>
              <w:rPr>
                <w:sz w:val="24"/>
                <w:szCs w:val="24"/>
              </w:rPr>
              <w:t>7/1/02</w:t>
            </w:r>
          </w:p>
        </w:tc>
        <w:tc>
          <w:tcPr>
            <w:tcW w:w="1296" w:type="dxa"/>
            <w:tcBorders/>
          </w:tcPr>
          <w:p>
            <w:pPr>
              <w:pStyle w:val="Normal"/>
              <w:jc w:val="center"/>
              <w:rPr>
                <w:sz w:val="24"/>
                <w:szCs w:val="24"/>
              </w:rPr>
            </w:pPr>
            <w:r>
              <w:rPr>
                <w:sz w:val="24"/>
                <w:szCs w:val="24"/>
              </w:rPr>
              <w:t>6/30/03</w:t>
            </w:r>
          </w:p>
        </w:tc>
        <w:tc>
          <w:tcPr>
            <w:tcW w:w="1476" w:type="dxa"/>
            <w:tcBorders/>
          </w:tcPr>
          <w:p>
            <w:pPr>
              <w:pStyle w:val="Normal"/>
              <w:jc w:val="center"/>
              <w:rPr>
                <w:sz w:val="24"/>
                <w:szCs w:val="24"/>
              </w:rPr>
            </w:pPr>
            <w:r>
              <w:rPr>
                <w:sz w:val="24"/>
                <w:szCs w:val="24"/>
              </w:rPr>
              <w:t>1.00%</w:t>
            </w:r>
          </w:p>
        </w:tc>
        <w:tc>
          <w:tcPr>
            <w:tcW w:w="1728" w:type="dxa"/>
            <w:gridSpan w:val="2"/>
            <w:tcBorders/>
          </w:tcPr>
          <w:p>
            <w:pPr>
              <w:pStyle w:val="Normal"/>
              <w:jc w:val="center"/>
              <w:rPr>
                <w:sz w:val="24"/>
                <w:szCs w:val="24"/>
              </w:rPr>
            </w:pPr>
            <w:r>
              <w:rPr>
                <w:sz w:val="24"/>
                <w:szCs w:val="24"/>
              </w:rPr>
              <w:t>58.0</w:t>
            </w:r>
          </w:p>
        </w:tc>
        <w:tc>
          <w:tcPr>
            <w:tcW w:w="1476" w:type="dxa"/>
            <w:tcBorders/>
          </w:tcPr>
          <w:p>
            <w:pPr>
              <w:pStyle w:val="Normal"/>
              <w:jc w:val="center"/>
              <w:rPr>
                <w:sz w:val="24"/>
                <w:szCs w:val="24"/>
              </w:rPr>
            </w:pPr>
            <w:r>
              <w:rPr>
                <w:sz w:val="24"/>
                <w:szCs w:val="24"/>
              </w:rPr>
              <w:t>5.50%</w:t>
            </w:r>
          </w:p>
        </w:tc>
        <w:tc>
          <w:tcPr>
            <w:tcW w:w="1728" w:type="dxa"/>
            <w:tcBorders/>
          </w:tcPr>
          <w:p>
            <w:pPr>
              <w:pStyle w:val="Normal"/>
              <w:jc w:val="center"/>
              <w:rPr>
                <w:sz w:val="24"/>
                <w:szCs w:val="24"/>
              </w:rPr>
            </w:pPr>
            <w:r>
              <w:rPr>
                <w:sz w:val="24"/>
                <w:szCs w:val="24"/>
              </w:rPr>
              <w:t>319.0</w:t>
            </w:r>
          </w:p>
        </w:tc>
      </w:tr>
      <w:tr>
        <w:trPr/>
        <w:tc>
          <w:tcPr>
            <w:tcW w:w="1296" w:type="dxa"/>
            <w:tcBorders/>
          </w:tcPr>
          <w:p>
            <w:pPr>
              <w:pStyle w:val="Normal"/>
              <w:jc w:val="center"/>
              <w:rPr>
                <w:sz w:val="24"/>
                <w:szCs w:val="24"/>
              </w:rPr>
            </w:pPr>
            <w:r>
              <w:rPr>
                <w:sz w:val="24"/>
                <w:szCs w:val="24"/>
              </w:rPr>
              <w:t>7/1/03</w:t>
            </w:r>
          </w:p>
        </w:tc>
        <w:tc>
          <w:tcPr>
            <w:tcW w:w="1296" w:type="dxa"/>
            <w:tcBorders/>
          </w:tcPr>
          <w:p>
            <w:pPr>
              <w:pStyle w:val="Normal"/>
              <w:jc w:val="center"/>
              <w:rPr>
                <w:sz w:val="24"/>
                <w:szCs w:val="24"/>
              </w:rPr>
            </w:pPr>
            <w:r>
              <w:rPr>
                <w:sz w:val="24"/>
                <w:szCs w:val="24"/>
              </w:rPr>
              <w:t>6/30/04</w:t>
            </w:r>
          </w:p>
        </w:tc>
        <w:tc>
          <w:tcPr>
            <w:tcW w:w="1476" w:type="dxa"/>
            <w:tcBorders/>
          </w:tcPr>
          <w:p>
            <w:pPr>
              <w:pStyle w:val="Normal"/>
              <w:jc w:val="center"/>
              <w:rPr>
                <w:sz w:val="24"/>
                <w:szCs w:val="24"/>
              </w:rPr>
            </w:pPr>
            <w:r>
              <w:rPr>
                <w:sz w:val="24"/>
                <w:szCs w:val="24"/>
              </w:rPr>
              <w:t>1.50%</w:t>
            </w:r>
          </w:p>
        </w:tc>
        <w:tc>
          <w:tcPr>
            <w:tcW w:w="1728" w:type="dxa"/>
            <w:gridSpan w:val="2"/>
            <w:tcBorders/>
          </w:tcPr>
          <w:p>
            <w:pPr>
              <w:pStyle w:val="Normal"/>
              <w:jc w:val="center"/>
              <w:rPr>
                <w:sz w:val="24"/>
                <w:szCs w:val="24"/>
              </w:rPr>
            </w:pPr>
            <w:r>
              <w:rPr>
                <w:sz w:val="24"/>
                <w:szCs w:val="24"/>
              </w:rPr>
              <w:t>87.0</w:t>
            </w:r>
          </w:p>
        </w:tc>
        <w:tc>
          <w:tcPr>
            <w:tcW w:w="1476" w:type="dxa"/>
            <w:tcBorders/>
          </w:tcPr>
          <w:p>
            <w:pPr>
              <w:pStyle w:val="Normal"/>
              <w:jc w:val="center"/>
              <w:rPr>
                <w:sz w:val="24"/>
                <w:szCs w:val="24"/>
              </w:rPr>
            </w:pPr>
            <w:r>
              <w:rPr>
                <w:sz w:val="24"/>
                <w:szCs w:val="24"/>
              </w:rPr>
              <w:t>5.50%</w:t>
            </w:r>
          </w:p>
        </w:tc>
        <w:tc>
          <w:tcPr>
            <w:tcW w:w="1728" w:type="dxa"/>
            <w:tcBorders/>
          </w:tcPr>
          <w:p>
            <w:pPr>
              <w:pStyle w:val="Normal"/>
              <w:jc w:val="center"/>
              <w:rPr>
                <w:sz w:val="24"/>
                <w:szCs w:val="24"/>
              </w:rPr>
            </w:pPr>
            <w:r>
              <w:rPr>
                <w:sz w:val="24"/>
                <w:szCs w:val="24"/>
              </w:rPr>
              <w:t>319.0</w:t>
            </w:r>
          </w:p>
        </w:tc>
      </w:tr>
      <w:tr>
        <w:trPr/>
        <w:tc>
          <w:tcPr>
            <w:tcW w:w="1296" w:type="dxa"/>
            <w:tcBorders/>
          </w:tcPr>
          <w:p>
            <w:pPr>
              <w:pStyle w:val="Normal"/>
              <w:jc w:val="center"/>
              <w:rPr>
                <w:sz w:val="24"/>
                <w:szCs w:val="24"/>
              </w:rPr>
            </w:pPr>
            <w:r>
              <w:rPr>
                <w:sz w:val="24"/>
                <w:szCs w:val="24"/>
              </w:rPr>
              <w:t>7/1/04</w:t>
            </w:r>
          </w:p>
        </w:tc>
        <w:tc>
          <w:tcPr>
            <w:tcW w:w="1296" w:type="dxa"/>
            <w:tcBorders/>
          </w:tcPr>
          <w:p>
            <w:pPr>
              <w:pStyle w:val="Normal"/>
              <w:jc w:val="center"/>
              <w:rPr>
                <w:sz w:val="24"/>
                <w:szCs w:val="24"/>
              </w:rPr>
            </w:pPr>
            <w:r>
              <w:rPr>
                <w:sz w:val="24"/>
                <w:szCs w:val="24"/>
              </w:rPr>
              <w:t>6/30/05</w:t>
            </w:r>
          </w:p>
        </w:tc>
        <w:tc>
          <w:tcPr>
            <w:tcW w:w="1476" w:type="dxa"/>
            <w:tcBorders/>
          </w:tcPr>
          <w:p>
            <w:pPr>
              <w:pStyle w:val="Normal"/>
              <w:jc w:val="center"/>
              <w:rPr>
                <w:sz w:val="24"/>
                <w:szCs w:val="24"/>
              </w:rPr>
            </w:pPr>
            <w:r>
              <w:rPr>
                <w:sz w:val="24"/>
                <w:szCs w:val="24"/>
              </w:rPr>
              <w:t>2.00%</w:t>
            </w:r>
          </w:p>
        </w:tc>
        <w:tc>
          <w:tcPr>
            <w:tcW w:w="1728" w:type="dxa"/>
            <w:gridSpan w:val="2"/>
            <w:tcBorders/>
          </w:tcPr>
          <w:p>
            <w:pPr>
              <w:pStyle w:val="Normal"/>
              <w:jc w:val="center"/>
              <w:rPr>
                <w:sz w:val="24"/>
                <w:szCs w:val="24"/>
              </w:rPr>
            </w:pPr>
            <w:r>
              <w:rPr>
                <w:sz w:val="24"/>
                <w:szCs w:val="24"/>
              </w:rPr>
              <w:t>116.0</w:t>
            </w:r>
          </w:p>
        </w:tc>
        <w:tc>
          <w:tcPr>
            <w:tcW w:w="1476" w:type="dxa"/>
            <w:tcBorders/>
          </w:tcPr>
          <w:p>
            <w:pPr>
              <w:pStyle w:val="Normal"/>
              <w:jc w:val="center"/>
              <w:rPr>
                <w:sz w:val="24"/>
                <w:szCs w:val="24"/>
              </w:rPr>
            </w:pPr>
            <w:r>
              <w:rPr>
                <w:sz w:val="24"/>
                <w:szCs w:val="24"/>
              </w:rPr>
              <w:t>6.00%</w:t>
            </w:r>
          </w:p>
        </w:tc>
        <w:tc>
          <w:tcPr>
            <w:tcW w:w="1728" w:type="dxa"/>
            <w:tcBorders/>
          </w:tcPr>
          <w:p>
            <w:pPr>
              <w:pStyle w:val="Normal"/>
              <w:jc w:val="center"/>
              <w:rPr>
                <w:sz w:val="24"/>
                <w:szCs w:val="24"/>
              </w:rPr>
            </w:pPr>
            <w:r>
              <w:rPr>
                <w:sz w:val="24"/>
                <w:szCs w:val="24"/>
              </w:rPr>
              <w:t>348.0</w:t>
            </w:r>
          </w:p>
        </w:tc>
      </w:tr>
      <w:tr>
        <w:trPr/>
        <w:tc>
          <w:tcPr>
            <w:tcW w:w="1296" w:type="dxa"/>
            <w:tcBorders/>
          </w:tcPr>
          <w:p>
            <w:pPr>
              <w:pStyle w:val="Normal"/>
              <w:jc w:val="center"/>
              <w:rPr>
                <w:sz w:val="24"/>
                <w:szCs w:val="24"/>
              </w:rPr>
            </w:pPr>
            <w:r>
              <w:rPr>
                <w:sz w:val="24"/>
                <w:szCs w:val="24"/>
              </w:rPr>
              <w:t>7/1/05</w:t>
            </w:r>
          </w:p>
        </w:tc>
        <w:tc>
          <w:tcPr>
            <w:tcW w:w="1296" w:type="dxa"/>
            <w:tcBorders/>
          </w:tcPr>
          <w:p>
            <w:pPr>
              <w:pStyle w:val="Normal"/>
              <w:jc w:val="center"/>
              <w:rPr>
                <w:sz w:val="24"/>
                <w:szCs w:val="24"/>
              </w:rPr>
            </w:pPr>
            <w:r>
              <w:rPr>
                <w:sz w:val="24"/>
                <w:szCs w:val="24"/>
              </w:rPr>
              <w:t>6/30/06</w:t>
            </w:r>
          </w:p>
        </w:tc>
        <w:tc>
          <w:tcPr>
            <w:tcW w:w="1476" w:type="dxa"/>
            <w:tcBorders/>
          </w:tcPr>
          <w:p>
            <w:pPr>
              <w:pStyle w:val="Normal"/>
              <w:jc w:val="center"/>
              <w:rPr>
                <w:sz w:val="24"/>
                <w:szCs w:val="24"/>
              </w:rPr>
            </w:pPr>
            <w:r>
              <w:rPr>
                <w:sz w:val="24"/>
                <w:szCs w:val="24"/>
              </w:rPr>
              <w:t>2.50%</w:t>
            </w:r>
          </w:p>
        </w:tc>
        <w:tc>
          <w:tcPr>
            <w:tcW w:w="1728" w:type="dxa"/>
            <w:gridSpan w:val="2"/>
            <w:tcBorders/>
          </w:tcPr>
          <w:p>
            <w:pPr>
              <w:pStyle w:val="Normal"/>
              <w:jc w:val="center"/>
              <w:rPr>
                <w:sz w:val="24"/>
                <w:szCs w:val="24"/>
              </w:rPr>
            </w:pPr>
            <w:r>
              <w:rPr>
                <w:sz w:val="24"/>
                <w:szCs w:val="24"/>
              </w:rPr>
              <w:t>145.0</w:t>
            </w:r>
          </w:p>
        </w:tc>
        <w:tc>
          <w:tcPr>
            <w:tcW w:w="1476" w:type="dxa"/>
            <w:tcBorders/>
          </w:tcPr>
          <w:p>
            <w:pPr>
              <w:pStyle w:val="Normal"/>
              <w:jc w:val="center"/>
              <w:rPr>
                <w:sz w:val="24"/>
                <w:szCs w:val="24"/>
              </w:rPr>
            </w:pPr>
            <w:r>
              <w:rPr>
                <w:sz w:val="24"/>
                <w:szCs w:val="24"/>
              </w:rPr>
              <w:t>6.00%</w:t>
            </w:r>
          </w:p>
        </w:tc>
        <w:tc>
          <w:tcPr>
            <w:tcW w:w="1728" w:type="dxa"/>
            <w:tcBorders/>
          </w:tcPr>
          <w:p>
            <w:pPr>
              <w:pStyle w:val="Normal"/>
              <w:jc w:val="center"/>
              <w:rPr>
                <w:sz w:val="24"/>
                <w:szCs w:val="24"/>
              </w:rPr>
            </w:pPr>
            <w:r>
              <w:rPr>
                <w:sz w:val="24"/>
                <w:szCs w:val="24"/>
              </w:rPr>
              <w:t>348.0</w:t>
            </w:r>
          </w:p>
        </w:tc>
      </w:tr>
      <w:tr>
        <w:trPr/>
        <w:tc>
          <w:tcPr>
            <w:tcW w:w="1296" w:type="dxa"/>
            <w:tcBorders/>
          </w:tcPr>
          <w:p>
            <w:pPr>
              <w:pStyle w:val="Normal"/>
              <w:jc w:val="center"/>
              <w:rPr>
                <w:sz w:val="24"/>
                <w:szCs w:val="24"/>
              </w:rPr>
            </w:pPr>
            <w:r>
              <w:rPr>
                <w:sz w:val="24"/>
                <w:szCs w:val="24"/>
              </w:rPr>
              <w:t>7/1/06</w:t>
            </w:r>
          </w:p>
        </w:tc>
        <w:tc>
          <w:tcPr>
            <w:tcW w:w="1296" w:type="dxa"/>
            <w:tcBorders/>
          </w:tcPr>
          <w:p>
            <w:pPr>
              <w:pStyle w:val="Normal"/>
              <w:jc w:val="center"/>
              <w:rPr>
                <w:sz w:val="24"/>
                <w:szCs w:val="24"/>
              </w:rPr>
            </w:pPr>
            <w:r>
              <w:rPr>
                <w:sz w:val="24"/>
                <w:szCs w:val="24"/>
              </w:rPr>
              <w:t>6/30/07</w:t>
            </w:r>
          </w:p>
        </w:tc>
        <w:tc>
          <w:tcPr>
            <w:tcW w:w="1476" w:type="dxa"/>
            <w:tcBorders/>
          </w:tcPr>
          <w:p>
            <w:pPr>
              <w:pStyle w:val="Normal"/>
              <w:jc w:val="center"/>
              <w:rPr>
                <w:sz w:val="24"/>
                <w:szCs w:val="24"/>
              </w:rPr>
            </w:pPr>
            <w:r>
              <w:rPr>
                <w:sz w:val="24"/>
                <w:szCs w:val="24"/>
              </w:rPr>
              <w:t>3.00%</w:t>
            </w:r>
          </w:p>
        </w:tc>
        <w:tc>
          <w:tcPr>
            <w:tcW w:w="1728" w:type="dxa"/>
            <w:gridSpan w:val="2"/>
            <w:tcBorders/>
          </w:tcPr>
          <w:p>
            <w:pPr>
              <w:pStyle w:val="Normal"/>
              <w:jc w:val="center"/>
              <w:rPr>
                <w:sz w:val="24"/>
                <w:szCs w:val="24"/>
              </w:rPr>
            </w:pPr>
            <w:r>
              <w:rPr>
                <w:sz w:val="24"/>
                <w:szCs w:val="24"/>
              </w:rPr>
              <w:t>174.0</w:t>
            </w:r>
          </w:p>
        </w:tc>
        <w:tc>
          <w:tcPr>
            <w:tcW w:w="1476" w:type="dxa"/>
            <w:tcBorders/>
          </w:tcPr>
          <w:p>
            <w:pPr>
              <w:pStyle w:val="Normal"/>
              <w:jc w:val="center"/>
              <w:rPr>
                <w:sz w:val="24"/>
                <w:szCs w:val="24"/>
              </w:rPr>
            </w:pPr>
            <w:r>
              <w:rPr>
                <w:sz w:val="24"/>
                <w:szCs w:val="24"/>
              </w:rPr>
              <w:t>6.00%</w:t>
            </w:r>
          </w:p>
        </w:tc>
        <w:tc>
          <w:tcPr>
            <w:tcW w:w="1728" w:type="dxa"/>
            <w:tcBorders/>
          </w:tcPr>
          <w:p>
            <w:pPr>
              <w:pStyle w:val="Normal"/>
              <w:jc w:val="center"/>
              <w:rPr>
                <w:sz w:val="24"/>
                <w:szCs w:val="24"/>
              </w:rPr>
            </w:pPr>
            <w:r>
              <w:rPr>
                <w:sz w:val="24"/>
                <w:szCs w:val="24"/>
              </w:rPr>
              <w:t>348.0</w:t>
            </w:r>
          </w:p>
        </w:tc>
      </w:tr>
      <w:tr>
        <w:trPr/>
        <w:tc>
          <w:tcPr>
            <w:tcW w:w="1296" w:type="dxa"/>
            <w:tcBorders/>
          </w:tcPr>
          <w:p>
            <w:pPr>
              <w:pStyle w:val="Normal"/>
              <w:jc w:val="center"/>
              <w:rPr>
                <w:sz w:val="24"/>
                <w:szCs w:val="24"/>
              </w:rPr>
            </w:pPr>
            <w:r>
              <w:rPr>
                <w:sz w:val="24"/>
                <w:szCs w:val="24"/>
              </w:rPr>
              <w:t>7/1/07</w:t>
            </w:r>
          </w:p>
        </w:tc>
        <w:tc>
          <w:tcPr>
            <w:tcW w:w="1296" w:type="dxa"/>
            <w:tcBorders/>
          </w:tcPr>
          <w:p>
            <w:pPr>
              <w:pStyle w:val="Normal"/>
              <w:jc w:val="center"/>
              <w:rPr>
                <w:sz w:val="24"/>
                <w:szCs w:val="24"/>
              </w:rPr>
            </w:pPr>
            <w:r>
              <w:rPr>
                <w:sz w:val="24"/>
                <w:szCs w:val="24"/>
              </w:rPr>
              <w:t>6/30/08</w:t>
            </w:r>
          </w:p>
        </w:tc>
        <w:tc>
          <w:tcPr>
            <w:tcW w:w="1476" w:type="dxa"/>
            <w:tcBorders/>
          </w:tcPr>
          <w:p>
            <w:pPr>
              <w:pStyle w:val="Normal"/>
              <w:jc w:val="center"/>
              <w:rPr>
                <w:sz w:val="24"/>
                <w:szCs w:val="24"/>
              </w:rPr>
            </w:pPr>
            <w:r>
              <w:rPr>
                <w:sz w:val="24"/>
                <w:szCs w:val="24"/>
              </w:rPr>
              <w:t>4.00%</w:t>
            </w:r>
          </w:p>
        </w:tc>
        <w:tc>
          <w:tcPr>
            <w:tcW w:w="1728" w:type="dxa"/>
            <w:gridSpan w:val="2"/>
            <w:tcBorders/>
          </w:tcPr>
          <w:p>
            <w:pPr>
              <w:pStyle w:val="Normal"/>
              <w:jc w:val="center"/>
              <w:rPr>
                <w:sz w:val="24"/>
                <w:szCs w:val="24"/>
              </w:rPr>
            </w:pPr>
            <w:r>
              <w:rPr>
                <w:sz w:val="24"/>
                <w:szCs w:val="24"/>
              </w:rPr>
              <w:t>232.0</w:t>
            </w:r>
          </w:p>
        </w:tc>
        <w:tc>
          <w:tcPr>
            <w:tcW w:w="1476" w:type="dxa"/>
            <w:tcBorders/>
          </w:tcPr>
          <w:p>
            <w:pPr>
              <w:pStyle w:val="Normal"/>
              <w:jc w:val="center"/>
              <w:rPr>
                <w:sz w:val="24"/>
                <w:szCs w:val="24"/>
              </w:rPr>
            </w:pPr>
            <w:r>
              <w:rPr>
                <w:sz w:val="24"/>
                <w:szCs w:val="24"/>
              </w:rPr>
              <w:t>6.00%</w:t>
            </w:r>
          </w:p>
        </w:tc>
        <w:tc>
          <w:tcPr>
            <w:tcW w:w="1728" w:type="dxa"/>
            <w:tcBorders/>
          </w:tcPr>
          <w:p>
            <w:pPr>
              <w:pStyle w:val="Normal"/>
              <w:jc w:val="center"/>
              <w:rPr>
                <w:sz w:val="24"/>
                <w:szCs w:val="24"/>
              </w:rPr>
            </w:pPr>
            <w:r>
              <w:rPr>
                <w:sz w:val="24"/>
                <w:szCs w:val="24"/>
              </w:rPr>
              <w:t>348.0</w:t>
            </w:r>
          </w:p>
        </w:tc>
      </w:tr>
      <w:tr>
        <w:trPr/>
        <w:tc>
          <w:tcPr>
            <w:tcW w:w="1296" w:type="dxa"/>
            <w:tcBorders/>
          </w:tcPr>
          <w:p>
            <w:pPr>
              <w:pStyle w:val="Normal"/>
              <w:jc w:val="center"/>
              <w:rPr>
                <w:sz w:val="24"/>
                <w:szCs w:val="24"/>
              </w:rPr>
            </w:pPr>
            <w:r>
              <w:rPr>
                <w:sz w:val="24"/>
                <w:szCs w:val="24"/>
              </w:rPr>
              <w:t>7/1/08</w:t>
            </w:r>
          </w:p>
        </w:tc>
        <w:tc>
          <w:tcPr>
            <w:tcW w:w="1296" w:type="dxa"/>
            <w:tcBorders/>
          </w:tcPr>
          <w:p>
            <w:pPr>
              <w:pStyle w:val="Normal"/>
              <w:jc w:val="center"/>
              <w:rPr>
                <w:sz w:val="24"/>
                <w:szCs w:val="24"/>
              </w:rPr>
            </w:pPr>
            <w:r>
              <w:rPr>
                <w:sz w:val="24"/>
                <w:szCs w:val="24"/>
              </w:rPr>
              <w:t>6/30/09</w:t>
            </w:r>
          </w:p>
        </w:tc>
        <w:tc>
          <w:tcPr>
            <w:tcW w:w="1476" w:type="dxa"/>
            <w:tcBorders/>
          </w:tcPr>
          <w:p>
            <w:pPr>
              <w:pStyle w:val="Normal"/>
              <w:jc w:val="center"/>
              <w:rPr>
                <w:sz w:val="24"/>
                <w:szCs w:val="24"/>
              </w:rPr>
            </w:pPr>
            <w:r>
              <w:rPr>
                <w:sz w:val="24"/>
                <w:szCs w:val="24"/>
              </w:rPr>
              <w:t>5.00%</w:t>
            </w:r>
          </w:p>
        </w:tc>
        <w:tc>
          <w:tcPr>
            <w:tcW w:w="1728" w:type="dxa"/>
            <w:gridSpan w:val="2"/>
            <w:tcBorders/>
          </w:tcPr>
          <w:p>
            <w:pPr>
              <w:pStyle w:val="Normal"/>
              <w:jc w:val="center"/>
              <w:rPr>
                <w:sz w:val="24"/>
                <w:szCs w:val="24"/>
              </w:rPr>
            </w:pPr>
            <w:r>
              <w:rPr>
                <w:sz w:val="24"/>
                <w:szCs w:val="24"/>
              </w:rPr>
              <w:t>290.0</w:t>
            </w:r>
          </w:p>
        </w:tc>
        <w:tc>
          <w:tcPr>
            <w:tcW w:w="1476" w:type="dxa"/>
            <w:tcBorders/>
          </w:tcPr>
          <w:p>
            <w:pPr>
              <w:pStyle w:val="Normal"/>
              <w:jc w:val="center"/>
              <w:rPr>
                <w:sz w:val="24"/>
                <w:szCs w:val="24"/>
              </w:rPr>
            </w:pPr>
            <w:r>
              <w:rPr>
                <w:sz w:val="24"/>
                <w:szCs w:val="24"/>
              </w:rPr>
              <w:t>6.00%</w:t>
            </w:r>
          </w:p>
        </w:tc>
        <w:tc>
          <w:tcPr>
            <w:tcW w:w="1728" w:type="dxa"/>
            <w:tcBorders/>
          </w:tcPr>
          <w:p>
            <w:pPr>
              <w:pStyle w:val="Normal"/>
              <w:jc w:val="center"/>
              <w:rPr>
                <w:sz w:val="24"/>
                <w:szCs w:val="24"/>
              </w:rPr>
            </w:pPr>
            <w:r>
              <w:rPr>
                <w:sz w:val="24"/>
                <w:szCs w:val="24"/>
              </w:rPr>
              <w:t>348.0</w:t>
            </w:r>
          </w:p>
        </w:tc>
      </w:tr>
      <w:tr>
        <w:trPr/>
        <w:tc>
          <w:tcPr>
            <w:tcW w:w="1296" w:type="dxa"/>
            <w:tcBorders/>
          </w:tcPr>
          <w:p>
            <w:pPr>
              <w:pStyle w:val="Normal"/>
              <w:jc w:val="center"/>
              <w:rPr>
                <w:sz w:val="24"/>
                <w:szCs w:val="24"/>
              </w:rPr>
            </w:pPr>
            <w:r>
              <w:rPr>
                <w:sz w:val="24"/>
                <w:szCs w:val="24"/>
              </w:rPr>
              <w:t>7/1/09</w:t>
            </w:r>
          </w:p>
        </w:tc>
        <w:tc>
          <w:tcPr>
            <w:tcW w:w="1296" w:type="dxa"/>
            <w:tcBorders/>
          </w:tcPr>
          <w:p>
            <w:pPr>
              <w:pStyle w:val="Normal"/>
              <w:jc w:val="center"/>
              <w:rPr>
                <w:sz w:val="24"/>
                <w:szCs w:val="24"/>
              </w:rPr>
            </w:pPr>
            <w:r>
              <w:rPr>
                <w:sz w:val="24"/>
                <w:szCs w:val="24"/>
              </w:rPr>
              <w:t>Thereafter</w:t>
            </w:r>
          </w:p>
        </w:tc>
        <w:tc>
          <w:tcPr>
            <w:tcW w:w="1476" w:type="dxa"/>
            <w:tcBorders/>
          </w:tcPr>
          <w:p>
            <w:pPr>
              <w:pStyle w:val="Normal"/>
              <w:jc w:val="center"/>
              <w:rPr>
                <w:sz w:val="24"/>
                <w:szCs w:val="24"/>
              </w:rPr>
            </w:pPr>
            <w:r>
              <w:rPr>
                <w:sz w:val="24"/>
                <w:szCs w:val="24"/>
              </w:rPr>
              <w:t>6.00%</w:t>
            </w:r>
          </w:p>
        </w:tc>
        <w:tc>
          <w:tcPr>
            <w:tcW w:w="1728" w:type="dxa"/>
            <w:gridSpan w:val="2"/>
            <w:tcBorders/>
          </w:tcPr>
          <w:p>
            <w:pPr>
              <w:pStyle w:val="Normal"/>
              <w:jc w:val="center"/>
              <w:rPr>
                <w:sz w:val="24"/>
                <w:szCs w:val="24"/>
              </w:rPr>
            </w:pPr>
            <w:r>
              <w:rPr>
                <w:sz w:val="24"/>
                <w:szCs w:val="24"/>
              </w:rPr>
              <w:t>348.0</w:t>
            </w:r>
          </w:p>
        </w:tc>
        <w:tc>
          <w:tcPr>
            <w:tcW w:w="1476" w:type="dxa"/>
            <w:tcBorders/>
          </w:tcPr>
          <w:p>
            <w:pPr>
              <w:pStyle w:val="Normal"/>
              <w:jc w:val="center"/>
              <w:rPr>
                <w:sz w:val="24"/>
                <w:szCs w:val="24"/>
              </w:rPr>
            </w:pPr>
            <w:r>
              <w:rPr>
                <w:sz w:val="24"/>
                <w:szCs w:val="24"/>
              </w:rPr>
              <w:t>7.00%</w:t>
            </w:r>
          </w:p>
        </w:tc>
        <w:tc>
          <w:tcPr>
            <w:tcW w:w="1728" w:type="dxa"/>
            <w:tcBorders/>
          </w:tcPr>
          <w:p>
            <w:pPr>
              <w:pStyle w:val="Normal"/>
              <w:jc w:val="center"/>
              <w:rPr>
                <w:sz w:val="24"/>
                <w:szCs w:val="24"/>
              </w:rPr>
            </w:pPr>
            <w:r>
              <w:rPr>
                <w:sz w:val="24"/>
                <w:szCs w:val="24"/>
              </w:rPr>
              <w:t>406.0</w:t>
            </w:r>
          </w:p>
        </w:tc>
      </w:tr>
    </w:tbl>
    <w:p>
      <w:pPr>
        <w:pStyle w:val="BodyText"/>
        <w:rPr>
          <w:sz w:val="24"/>
          <w:szCs w:val="24"/>
        </w:rPr>
      </w:pPr>
      <w:r>
        <w:rPr>
          <w:sz w:val="24"/>
          <w:szCs w:val="24"/>
        </w:rPr>
      </w:r>
    </w:p>
    <w:p>
      <w:pPr>
        <w:pStyle w:val="Normal"/>
        <w:rPr>
          <w:sz w:val="24"/>
          <w:szCs w:val="24"/>
        </w:rPr>
      </w:pPr>
      <w:r>
        <w:rPr>
          <w:sz w:val="24"/>
          <w:szCs w:val="24"/>
        </w:rPr>
      </w:r>
      <w:r>
        <w:br w:type="page"/>
      </w:r>
    </w:p>
    <w:p>
      <w:pPr>
        <w:pStyle w:val="Normal"/>
        <w:jc w:val="center"/>
        <w:rPr>
          <w:b/>
          <w:bCs/>
          <w:sz w:val="32"/>
          <w:szCs w:val="32"/>
        </w:rPr>
      </w:pPr>
      <w:r>
        <w:rPr>
          <w:b/>
          <w:bCs/>
          <w:sz w:val="32"/>
          <w:szCs w:val="32"/>
        </w:rPr>
        <w:t>Exhibit 2</w:t>
      </w:r>
    </w:p>
    <w:p>
      <w:pPr>
        <w:pStyle w:val="Normal"/>
        <w:jc w:val="center"/>
        <w:rPr>
          <w:b/>
          <w:bCs/>
          <w:sz w:val="32"/>
          <w:szCs w:val="32"/>
        </w:rPr>
      </w:pPr>
      <w:r>
        <w:rPr>
          <w:b/>
          <w:bCs/>
          <w:sz w:val="32"/>
          <w:szCs w:val="32"/>
        </w:rPr>
        <w:t>Cost Effectiveness</w:t>
      </w:r>
    </w:p>
    <w:p>
      <w:pPr>
        <w:pStyle w:val="Normal"/>
        <w:rPr>
          <w:b/>
          <w:bCs/>
          <w:sz w:val="24"/>
          <w:szCs w:val="24"/>
        </w:rPr>
      </w:pPr>
      <w:r>
        <w:rPr>
          <w:b/>
          <w:bCs/>
          <w:sz w:val="24"/>
          <w:szCs w:val="24"/>
        </w:rPr>
      </w:r>
    </w:p>
    <w:p>
      <w:pPr>
        <w:pStyle w:val="Normal"/>
        <w:rPr>
          <w:sz w:val="24"/>
          <w:szCs w:val="24"/>
        </w:rPr>
      </w:pPr>
      <w:r>
        <w:rPr>
          <w:sz w:val="24"/>
          <w:szCs w:val="24"/>
        </w:rPr>
      </w:r>
    </w:p>
    <w:tbl>
      <w:tblPr>
        <w:tblW w:w="9043" w:type="dxa"/>
        <w:jc w:val="start"/>
        <w:tblInd w:w="0" w:type="dxa"/>
        <w:tblLayout w:type="fixed"/>
        <w:tblCellMar>
          <w:top w:w="0" w:type="dxa"/>
          <w:start w:w="108" w:type="dxa"/>
          <w:bottom w:w="0" w:type="dxa"/>
          <w:end w:w="108" w:type="dxa"/>
        </w:tblCellMar>
      </w:tblPr>
      <w:tblGrid>
        <w:gridCol w:w="2923"/>
        <w:gridCol w:w="1224"/>
        <w:gridCol w:w="1224"/>
        <w:gridCol w:w="1224"/>
        <w:gridCol w:w="1224"/>
        <w:gridCol w:w="1224"/>
      </w:tblGrid>
      <w:tr>
        <w:trPr/>
        <w:tc>
          <w:tcPr>
            <w:tcW w:w="2923" w:type="dxa"/>
            <w:tcBorders/>
          </w:tcPr>
          <w:p>
            <w:pPr>
              <w:pStyle w:val="Normal"/>
              <w:snapToGrid w:val="false"/>
              <w:jc w:val="center"/>
              <w:rPr>
                <w:b/>
                <w:bCs/>
              </w:rPr>
            </w:pPr>
            <w:r>
              <w:rPr>
                <w:b/>
                <w:bCs/>
              </w:rPr>
            </w:r>
          </w:p>
        </w:tc>
        <w:tc>
          <w:tcPr>
            <w:tcW w:w="1224" w:type="dxa"/>
            <w:tcBorders/>
          </w:tcPr>
          <w:p>
            <w:pPr>
              <w:pStyle w:val="Normal"/>
              <w:pBdr>
                <w:bottom w:val="single" w:sz="6" w:space="1" w:color="000000"/>
              </w:pBdr>
              <w:jc w:val="center"/>
              <w:rPr>
                <w:b/>
                <w:bCs/>
              </w:rPr>
            </w:pPr>
            <w:r>
              <w:rPr>
                <w:b/>
                <w:bCs/>
              </w:rPr>
              <w:t>2002</w:t>
            </w:r>
          </w:p>
        </w:tc>
        <w:tc>
          <w:tcPr>
            <w:tcW w:w="1224" w:type="dxa"/>
            <w:tcBorders/>
          </w:tcPr>
          <w:p>
            <w:pPr>
              <w:pStyle w:val="Normal"/>
              <w:pBdr>
                <w:bottom w:val="single" w:sz="6" w:space="1" w:color="000000"/>
              </w:pBdr>
              <w:jc w:val="center"/>
              <w:rPr>
                <w:b/>
                <w:bCs/>
              </w:rPr>
            </w:pPr>
            <w:r>
              <w:rPr>
                <w:b/>
                <w:bCs/>
              </w:rPr>
              <w:t>2003</w:t>
            </w:r>
          </w:p>
        </w:tc>
        <w:tc>
          <w:tcPr>
            <w:tcW w:w="1224" w:type="dxa"/>
            <w:tcBorders/>
          </w:tcPr>
          <w:p>
            <w:pPr>
              <w:pStyle w:val="Normal"/>
              <w:pBdr>
                <w:bottom w:val="single" w:sz="6" w:space="1" w:color="000000"/>
              </w:pBdr>
              <w:jc w:val="center"/>
              <w:rPr>
                <w:b/>
                <w:bCs/>
              </w:rPr>
            </w:pPr>
            <w:r>
              <w:rPr>
                <w:b/>
                <w:bCs/>
              </w:rPr>
              <w:t>2004</w:t>
            </w:r>
          </w:p>
        </w:tc>
        <w:tc>
          <w:tcPr>
            <w:tcW w:w="1224" w:type="dxa"/>
            <w:tcBorders/>
          </w:tcPr>
          <w:p>
            <w:pPr>
              <w:pStyle w:val="Normal"/>
              <w:pBdr>
                <w:bottom w:val="single" w:sz="6" w:space="1" w:color="000000"/>
              </w:pBdr>
              <w:jc w:val="center"/>
              <w:rPr>
                <w:b/>
                <w:bCs/>
              </w:rPr>
            </w:pPr>
            <w:r>
              <w:rPr>
                <w:b/>
                <w:bCs/>
              </w:rPr>
              <w:t>2005</w:t>
            </w:r>
          </w:p>
        </w:tc>
        <w:tc>
          <w:tcPr>
            <w:tcW w:w="1224" w:type="dxa"/>
            <w:tcBorders/>
          </w:tcPr>
          <w:p>
            <w:pPr>
              <w:pStyle w:val="Normal"/>
              <w:pBdr>
                <w:bottom w:val="single" w:sz="6" w:space="1" w:color="000000"/>
              </w:pBdr>
              <w:jc w:val="center"/>
              <w:rPr>
                <w:b/>
                <w:bCs/>
              </w:rPr>
            </w:pPr>
            <w:r>
              <w:rPr>
                <w:b/>
                <w:bCs/>
              </w:rPr>
              <w:t>2006</w:t>
            </w:r>
          </w:p>
        </w:tc>
      </w:tr>
      <w:tr>
        <w:trPr/>
        <w:tc>
          <w:tcPr>
            <w:tcW w:w="2923" w:type="dxa"/>
            <w:tcBorders/>
          </w:tcPr>
          <w:p>
            <w:pPr>
              <w:pStyle w:val="Normal"/>
              <w:rPr/>
            </w:pPr>
            <w:r>
              <w:rPr/>
              <w:t>Total Generating MWs</w:t>
            </w:r>
          </w:p>
        </w:tc>
        <w:tc>
          <w:tcPr>
            <w:tcW w:w="1224" w:type="dxa"/>
            <w:tcBorders/>
          </w:tcPr>
          <w:p>
            <w:pPr>
              <w:pStyle w:val="Normal"/>
              <w:jc w:val="center"/>
              <w:rPr/>
            </w:pPr>
            <w:r>
              <w:rPr/>
              <w:t>26.0</w:t>
            </w:r>
          </w:p>
        </w:tc>
        <w:tc>
          <w:tcPr>
            <w:tcW w:w="1224" w:type="dxa"/>
            <w:tcBorders/>
          </w:tcPr>
          <w:p>
            <w:pPr>
              <w:pStyle w:val="Normal"/>
              <w:jc w:val="center"/>
              <w:rPr/>
            </w:pPr>
            <w:r>
              <w:rPr/>
              <w:t>50.0</w:t>
            </w:r>
          </w:p>
        </w:tc>
        <w:tc>
          <w:tcPr>
            <w:tcW w:w="1224" w:type="dxa"/>
            <w:tcBorders/>
          </w:tcPr>
          <w:p>
            <w:pPr>
              <w:pStyle w:val="Normal"/>
              <w:jc w:val="center"/>
              <w:rPr/>
            </w:pPr>
            <w:r>
              <w:rPr/>
              <w:t>50.0</w:t>
            </w:r>
          </w:p>
        </w:tc>
        <w:tc>
          <w:tcPr>
            <w:tcW w:w="1224" w:type="dxa"/>
            <w:tcBorders/>
          </w:tcPr>
          <w:p>
            <w:pPr>
              <w:pStyle w:val="Normal"/>
              <w:jc w:val="center"/>
              <w:rPr/>
            </w:pPr>
            <w:r>
              <w:rPr/>
              <w:t>50.0</w:t>
            </w:r>
          </w:p>
        </w:tc>
        <w:tc>
          <w:tcPr>
            <w:tcW w:w="1224" w:type="dxa"/>
            <w:tcBorders/>
          </w:tcPr>
          <w:p>
            <w:pPr>
              <w:pStyle w:val="Normal"/>
              <w:jc w:val="center"/>
              <w:rPr/>
            </w:pPr>
            <w:r>
              <w:rPr/>
              <w:t>50.0</w:t>
            </w:r>
          </w:p>
        </w:tc>
      </w:tr>
      <w:tr>
        <w:trPr/>
        <w:tc>
          <w:tcPr>
            <w:tcW w:w="2923" w:type="dxa"/>
            <w:tcBorders/>
          </w:tcPr>
          <w:p>
            <w:pPr>
              <w:pStyle w:val="Normal"/>
              <w:rPr/>
            </w:pPr>
            <w:r>
              <w:rPr/>
              <w:t>Output (MWh)</w:t>
            </w:r>
          </w:p>
        </w:tc>
        <w:tc>
          <w:tcPr>
            <w:tcW w:w="1224" w:type="dxa"/>
            <w:tcBorders/>
          </w:tcPr>
          <w:p>
            <w:pPr>
              <w:pStyle w:val="Normal"/>
              <w:jc w:val="center"/>
              <w:rPr/>
            </w:pPr>
            <w:r>
              <w:rPr/>
              <w:t>112,347</w:t>
            </w:r>
          </w:p>
        </w:tc>
        <w:tc>
          <w:tcPr>
            <w:tcW w:w="1224" w:type="dxa"/>
            <w:tcBorders/>
          </w:tcPr>
          <w:p>
            <w:pPr>
              <w:pStyle w:val="Normal"/>
              <w:jc w:val="center"/>
              <w:rPr/>
            </w:pPr>
            <w:r>
              <w:rPr/>
              <w:t>341,202</w:t>
            </w:r>
          </w:p>
        </w:tc>
        <w:tc>
          <w:tcPr>
            <w:tcW w:w="1224" w:type="dxa"/>
            <w:tcBorders/>
          </w:tcPr>
          <w:p>
            <w:pPr>
              <w:pStyle w:val="Normal"/>
              <w:jc w:val="center"/>
              <w:rPr/>
            </w:pPr>
            <w:r>
              <w:rPr/>
              <w:t>416,100</w:t>
            </w:r>
          </w:p>
        </w:tc>
        <w:tc>
          <w:tcPr>
            <w:tcW w:w="1224" w:type="dxa"/>
            <w:tcBorders/>
          </w:tcPr>
          <w:p>
            <w:pPr>
              <w:pStyle w:val="Normal"/>
              <w:jc w:val="center"/>
              <w:rPr/>
            </w:pPr>
            <w:r>
              <w:rPr/>
              <w:t>416,100</w:t>
            </w:r>
          </w:p>
        </w:tc>
        <w:tc>
          <w:tcPr>
            <w:tcW w:w="1224" w:type="dxa"/>
            <w:tcBorders/>
          </w:tcPr>
          <w:p>
            <w:pPr>
              <w:pStyle w:val="Normal"/>
              <w:jc w:val="center"/>
              <w:rPr/>
            </w:pPr>
            <w:r>
              <w:rPr/>
              <w:t>416,100</w:t>
            </w:r>
          </w:p>
        </w:tc>
      </w:tr>
      <w:tr>
        <w:trPr/>
        <w:tc>
          <w:tcPr>
            <w:tcW w:w="2923" w:type="dxa"/>
            <w:tcBorders/>
          </w:tcPr>
          <w:p>
            <w:pPr>
              <w:pStyle w:val="Normal"/>
              <w:snapToGrid w:val="false"/>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r>
      <w:tr>
        <w:trPr/>
        <w:tc>
          <w:tcPr>
            <w:tcW w:w="2923" w:type="dxa"/>
            <w:tcBorders/>
          </w:tcPr>
          <w:p>
            <w:pPr>
              <w:pStyle w:val="Normal"/>
              <w:rPr/>
            </w:pPr>
            <w:r>
              <w:rPr/>
              <w:t>Energy Price ($/MWh)</w:t>
            </w:r>
          </w:p>
        </w:tc>
        <w:tc>
          <w:tcPr>
            <w:tcW w:w="1224" w:type="dxa"/>
            <w:tcBorders/>
          </w:tcPr>
          <w:p>
            <w:pPr>
              <w:pStyle w:val="Normal"/>
              <w:jc w:val="center"/>
              <w:rPr/>
            </w:pPr>
            <w:r>
              <w:rPr/>
              <w:t>$47.79</w:t>
            </w:r>
          </w:p>
        </w:tc>
        <w:tc>
          <w:tcPr>
            <w:tcW w:w="1224" w:type="dxa"/>
            <w:tcBorders/>
          </w:tcPr>
          <w:p>
            <w:pPr>
              <w:pStyle w:val="Normal"/>
              <w:jc w:val="center"/>
              <w:rPr/>
            </w:pPr>
            <w:r>
              <w:rPr/>
              <w:t>$47.79</w:t>
            </w:r>
          </w:p>
        </w:tc>
        <w:tc>
          <w:tcPr>
            <w:tcW w:w="1224" w:type="dxa"/>
            <w:tcBorders/>
          </w:tcPr>
          <w:p>
            <w:pPr>
              <w:pStyle w:val="Normal"/>
              <w:jc w:val="center"/>
              <w:rPr/>
            </w:pPr>
            <w:r>
              <w:rPr/>
              <w:t>$47.79</w:t>
            </w:r>
          </w:p>
        </w:tc>
        <w:tc>
          <w:tcPr>
            <w:tcW w:w="1224" w:type="dxa"/>
            <w:tcBorders/>
          </w:tcPr>
          <w:p>
            <w:pPr>
              <w:pStyle w:val="Normal"/>
              <w:jc w:val="center"/>
              <w:rPr/>
            </w:pPr>
            <w:r>
              <w:rPr/>
              <w:t>$49.13</w:t>
            </w:r>
          </w:p>
        </w:tc>
        <w:tc>
          <w:tcPr>
            <w:tcW w:w="1224" w:type="dxa"/>
            <w:tcBorders/>
          </w:tcPr>
          <w:p>
            <w:pPr>
              <w:pStyle w:val="Normal"/>
              <w:jc w:val="center"/>
              <w:rPr/>
            </w:pPr>
            <w:r>
              <w:rPr/>
              <w:t>$50.50</w:t>
            </w:r>
          </w:p>
        </w:tc>
      </w:tr>
      <w:tr>
        <w:trPr/>
        <w:tc>
          <w:tcPr>
            <w:tcW w:w="2923"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r>
      <w:tr>
        <w:trPr/>
        <w:tc>
          <w:tcPr>
            <w:tcW w:w="2923" w:type="dxa"/>
            <w:tcBorders/>
          </w:tcPr>
          <w:p>
            <w:pPr>
              <w:pStyle w:val="Normal"/>
              <w:rPr/>
            </w:pPr>
            <w:r>
              <w:rPr/>
              <w:t xml:space="preserve">Total Operating Revenue </w:t>
            </w:r>
          </w:p>
        </w:tc>
        <w:tc>
          <w:tcPr>
            <w:tcW w:w="1224" w:type="dxa"/>
            <w:tcBorders/>
          </w:tcPr>
          <w:p>
            <w:pPr>
              <w:pStyle w:val="Normal"/>
              <w:jc w:val="center"/>
              <w:rPr/>
            </w:pPr>
            <w:r>
              <w:rPr/>
              <w:t>$5,369,063</w:t>
            </w:r>
          </w:p>
        </w:tc>
        <w:tc>
          <w:tcPr>
            <w:tcW w:w="1224" w:type="dxa"/>
            <w:tcBorders/>
          </w:tcPr>
          <w:p>
            <w:pPr>
              <w:pStyle w:val="Normal"/>
              <w:jc w:val="center"/>
              <w:rPr/>
            </w:pPr>
            <w:r>
              <w:rPr/>
              <w:t>$16,306,044</w:t>
            </w:r>
          </w:p>
        </w:tc>
        <w:tc>
          <w:tcPr>
            <w:tcW w:w="1224" w:type="dxa"/>
            <w:tcBorders/>
          </w:tcPr>
          <w:p>
            <w:pPr>
              <w:pStyle w:val="Normal"/>
              <w:jc w:val="center"/>
              <w:rPr/>
            </w:pPr>
            <w:r>
              <w:rPr/>
              <w:t>$19,885,419</w:t>
            </w:r>
          </w:p>
        </w:tc>
        <w:tc>
          <w:tcPr>
            <w:tcW w:w="1224" w:type="dxa"/>
            <w:tcBorders/>
          </w:tcPr>
          <w:p>
            <w:pPr>
              <w:pStyle w:val="Normal"/>
              <w:jc w:val="center"/>
              <w:rPr/>
            </w:pPr>
            <w:r>
              <w:rPr/>
              <w:t>$20,442,211</w:t>
            </w:r>
          </w:p>
        </w:tc>
        <w:tc>
          <w:tcPr>
            <w:tcW w:w="1224" w:type="dxa"/>
            <w:tcBorders/>
          </w:tcPr>
          <w:p>
            <w:pPr>
              <w:pStyle w:val="Normal"/>
              <w:jc w:val="center"/>
              <w:rPr/>
            </w:pPr>
            <w:r>
              <w:rPr/>
              <w:t>$21,014,593</w:t>
            </w:r>
          </w:p>
        </w:tc>
      </w:tr>
      <w:tr>
        <w:trPr/>
        <w:tc>
          <w:tcPr>
            <w:tcW w:w="2923"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r>
      <w:tr>
        <w:trPr/>
        <w:tc>
          <w:tcPr>
            <w:tcW w:w="2923" w:type="dxa"/>
            <w:tcBorders/>
          </w:tcPr>
          <w:p>
            <w:pPr>
              <w:pStyle w:val="Heading3"/>
              <w:ind w:hanging="0" w:start="0"/>
              <w:rPr/>
            </w:pPr>
            <w:r>
              <w:rPr/>
              <w:t>Expenses</w:t>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c>
          <w:tcPr>
            <w:tcW w:w="1224" w:type="dxa"/>
            <w:tcBorders/>
          </w:tcPr>
          <w:p>
            <w:pPr>
              <w:pStyle w:val="Normal"/>
              <w:snapToGrid w:val="false"/>
              <w:rPr/>
            </w:pPr>
            <w:r>
              <w:rPr/>
            </w:r>
          </w:p>
        </w:tc>
      </w:tr>
      <w:tr>
        <w:trPr/>
        <w:tc>
          <w:tcPr>
            <w:tcW w:w="2923" w:type="dxa"/>
            <w:tcBorders/>
          </w:tcPr>
          <w:p>
            <w:pPr>
              <w:pStyle w:val="Normal"/>
              <w:rPr/>
            </w:pPr>
            <w:r>
              <w:rPr/>
              <w:t>Natural Gas Price ($/mmBtu)</w:t>
            </w:r>
          </w:p>
        </w:tc>
        <w:tc>
          <w:tcPr>
            <w:tcW w:w="1224" w:type="dxa"/>
            <w:tcBorders/>
          </w:tcPr>
          <w:p>
            <w:pPr>
              <w:pStyle w:val="Normal"/>
              <w:jc w:val="center"/>
              <w:rPr/>
            </w:pPr>
            <w:r>
              <w:rPr/>
              <w:t>$4.37</w:t>
            </w:r>
          </w:p>
        </w:tc>
        <w:tc>
          <w:tcPr>
            <w:tcW w:w="1224" w:type="dxa"/>
            <w:tcBorders/>
          </w:tcPr>
          <w:p>
            <w:pPr>
              <w:pStyle w:val="Normal"/>
              <w:jc w:val="center"/>
              <w:rPr/>
            </w:pPr>
            <w:r>
              <w:rPr/>
              <w:t>$4.17</w:t>
            </w:r>
          </w:p>
        </w:tc>
        <w:tc>
          <w:tcPr>
            <w:tcW w:w="1224" w:type="dxa"/>
            <w:tcBorders/>
          </w:tcPr>
          <w:p>
            <w:pPr>
              <w:pStyle w:val="Normal"/>
              <w:jc w:val="center"/>
              <w:rPr/>
            </w:pPr>
            <w:r>
              <w:rPr/>
              <w:t>$4.15</w:t>
            </w:r>
          </w:p>
        </w:tc>
        <w:tc>
          <w:tcPr>
            <w:tcW w:w="1224" w:type="dxa"/>
            <w:tcBorders/>
          </w:tcPr>
          <w:p>
            <w:pPr>
              <w:pStyle w:val="Normal"/>
              <w:jc w:val="center"/>
              <w:rPr/>
            </w:pPr>
            <w:r>
              <w:rPr/>
              <w:t>$4.15</w:t>
            </w:r>
          </w:p>
        </w:tc>
        <w:tc>
          <w:tcPr>
            <w:tcW w:w="1224" w:type="dxa"/>
            <w:tcBorders/>
          </w:tcPr>
          <w:p>
            <w:pPr>
              <w:pStyle w:val="Normal"/>
              <w:jc w:val="center"/>
              <w:rPr/>
            </w:pPr>
            <w:r>
              <w:rPr/>
              <w:t>$4.16</w:t>
            </w:r>
          </w:p>
        </w:tc>
      </w:tr>
      <w:tr>
        <w:trPr/>
        <w:tc>
          <w:tcPr>
            <w:tcW w:w="2923" w:type="dxa"/>
            <w:tcBorders/>
          </w:tcPr>
          <w:p>
            <w:pPr>
              <w:pStyle w:val="Normal"/>
              <w:rPr/>
            </w:pPr>
            <w:r>
              <w:rPr/>
              <w:t>Fuel ($/MWh)</w:t>
            </w:r>
          </w:p>
        </w:tc>
        <w:tc>
          <w:tcPr>
            <w:tcW w:w="1224" w:type="dxa"/>
            <w:tcBorders/>
          </w:tcPr>
          <w:p>
            <w:pPr>
              <w:pStyle w:val="Normal"/>
              <w:jc w:val="center"/>
              <w:rPr/>
            </w:pPr>
            <w:r>
              <w:rPr/>
              <w:t>$32.53</w:t>
            </w:r>
          </w:p>
        </w:tc>
        <w:tc>
          <w:tcPr>
            <w:tcW w:w="1224" w:type="dxa"/>
            <w:tcBorders/>
          </w:tcPr>
          <w:p>
            <w:pPr>
              <w:pStyle w:val="Normal"/>
              <w:jc w:val="center"/>
              <w:rPr/>
            </w:pPr>
            <w:r>
              <w:rPr/>
              <w:t>$30.81</w:t>
            </w:r>
          </w:p>
        </w:tc>
        <w:tc>
          <w:tcPr>
            <w:tcW w:w="1224" w:type="dxa"/>
            <w:tcBorders/>
          </w:tcPr>
          <w:p>
            <w:pPr>
              <w:pStyle w:val="Normal"/>
              <w:jc w:val="center"/>
              <w:rPr/>
            </w:pPr>
            <w:r>
              <w:rPr/>
              <w:t>$30.67</w:t>
            </w:r>
          </w:p>
        </w:tc>
        <w:tc>
          <w:tcPr>
            <w:tcW w:w="1224" w:type="dxa"/>
            <w:tcBorders/>
          </w:tcPr>
          <w:p>
            <w:pPr>
              <w:pStyle w:val="Normal"/>
              <w:jc w:val="center"/>
              <w:rPr/>
            </w:pPr>
            <w:r>
              <w:rPr/>
              <w:t>$29.82</w:t>
            </w:r>
          </w:p>
        </w:tc>
        <w:tc>
          <w:tcPr>
            <w:tcW w:w="1224" w:type="dxa"/>
            <w:tcBorders/>
          </w:tcPr>
          <w:p>
            <w:pPr>
              <w:pStyle w:val="Normal"/>
              <w:jc w:val="center"/>
              <w:rPr/>
            </w:pPr>
            <w:r>
              <w:rPr/>
              <w:t>$29.17</w:t>
            </w:r>
          </w:p>
        </w:tc>
      </w:tr>
      <w:tr>
        <w:trPr/>
        <w:tc>
          <w:tcPr>
            <w:tcW w:w="2923" w:type="dxa"/>
            <w:tcBorders/>
          </w:tcPr>
          <w:p>
            <w:pPr>
              <w:pStyle w:val="Normal"/>
              <w:snapToGrid w:val="false"/>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r>
      <w:tr>
        <w:trPr/>
        <w:tc>
          <w:tcPr>
            <w:tcW w:w="2923" w:type="dxa"/>
            <w:tcBorders/>
          </w:tcPr>
          <w:p>
            <w:pPr>
              <w:pStyle w:val="Normal"/>
              <w:rPr/>
            </w:pPr>
            <w:r>
              <w:rPr/>
              <w:t>Total Fuel Expense</w:t>
            </w:r>
          </w:p>
        </w:tc>
        <w:tc>
          <w:tcPr>
            <w:tcW w:w="1224" w:type="dxa"/>
            <w:tcBorders/>
          </w:tcPr>
          <w:p>
            <w:pPr>
              <w:pStyle w:val="Normal"/>
              <w:jc w:val="center"/>
              <w:rPr/>
            </w:pPr>
            <w:r>
              <w:rPr/>
              <w:t>$3,630,744</w:t>
            </w:r>
          </w:p>
        </w:tc>
        <w:tc>
          <w:tcPr>
            <w:tcW w:w="1224" w:type="dxa"/>
            <w:tcBorders/>
          </w:tcPr>
          <w:p>
            <w:pPr>
              <w:pStyle w:val="Normal"/>
              <w:jc w:val="center"/>
              <w:rPr/>
            </w:pPr>
            <w:r>
              <w:rPr/>
              <w:t>$10,513,872</w:t>
            </w:r>
          </w:p>
        </w:tc>
        <w:tc>
          <w:tcPr>
            <w:tcW w:w="1224" w:type="dxa"/>
            <w:tcBorders/>
          </w:tcPr>
          <w:p>
            <w:pPr>
              <w:pStyle w:val="Normal"/>
              <w:jc w:val="center"/>
              <w:rPr/>
            </w:pPr>
            <w:r>
              <w:rPr/>
              <w:t>$12,760,299</w:t>
            </w:r>
          </w:p>
        </w:tc>
        <w:tc>
          <w:tcPr>
            <w:tcW w:w="1224" w:type="dxa"/>
            <w:tcBorders/>
          </w:tcPr>
          <w:p>
            <w:pPr>
              <w:pStyle w:val="Normal"/>
              <w:jc w:val="center"/>
              <w:rPr/>
            </w:pPr>
            <w:r>
              <w:rPr/>
              <w:t>$12,406,338</w:t>
            </w:r>
          </w:p>
        </w:tc>
        <w:tc>
          <w:tcPr>
            <w:tcW w:w="1224" w:type="dxa"/>
            <w:tcBorders/>
          </w:tcPr>
          <w:p>
            <w:pPr>
              <w:pStyle w:val="Normal"/>
              <w:jc w:val="center"/>
              <w:rPr/>
            </w:pPr>
            <w:r>
              <w:rPr/>
              <w:t>$12,136,738</w:t>
            </w:r>
          </w:p>
        </w:tc>
      </w:tr>
      <w:tr>
        <w:trPr/>
        <w:tc>
          <w:tcPr>
            <w:tcW w:w="2923" w:type="dxa"/>
            <w:tcBorders/>
          </w:tcPr>
          <w:p>
            <w:pPr>
              <w:pStyle w:val="Normal"/>
              <w:snapToGrid w:val="false"/>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r>
      <w:tr>
        <w:trPr/>
        <w:tc>
          <w:tcPr>
            <w:tcW w:w="2923" w:type="dxa"/>
            <w:tcBorders/>
          </w:tcPr>
          <w:p>
            <w:pPr>
              <w:pStyle w:val="Normal"/>
              <w:rPr/>
            </w:pPr>
            <w:r>
              <w:rPr/>
              <w:t>Variable O&amp;M</w:t>
            </w:r>
          </w:p>
        </w:tc>
        <w:tc>
          <w:tcPr>
            <w:tcW w:w="1224" w:type="dxa"/>
            <w:tcBorders/>
          </w:tcPr>
          <w:p>
            <w:pPr>
              <w:pStyle w:val="Normal"/>
              <w:jc w:val="center"/>
              <w:rPr/>
            </w:pPr>
            <w:r>
              <w:rPr/>
              <w:t>$452,250</w:t>
            </w:r>
          </w:p>
        </w:tc>
        <w:tc>
          <w:tcPr>
            <w:tcW w:w="1224" w:type="dxa"/>
            <w:tcBorders/>
          </w:tcPr>
          <w:p>
            <w:pPr>
              <w:pStyle w:val="Normal"/>
              <w:jc w:val="center"/>
              <w:rPr/>
            </w:pPr>
            <w:r>
              <w:rPr/>
              <w:t>$1,675,000</w:t>
            </w:r>
          </w:p>
        </w:tc>
        <w:tc>
          <w:tcPr>
            <w:tcW w:w="1224" w:type="dxa"/>
            <w:tcBorders/>
          </w:tcPr>
          <w:p>
            <w:pPr>
              <w:pStyle w:val="Normal"/>
              <w:jc w:val="center"/>
              <w:rPr/>
            </w:pPr>
            <w:r>
              <w:rPr/>
              <w:t>$1,675,000</w:t>
            </w:r>
          </w:p>
        </w:tc>
        <w:tc>
          <w:tcPr>
            <w:tcW w:w="1224" w:type="dxa"/>
            <w:tcBorders/>
          </w:tcPr>
          <w:p>
            <w:pPr>
              <w:pStyle w:val="Normal"/>
              <w:jc w:val="center"/>
              <w:rPr/>
            </w:pPr>
            <w:r>
              <w:rPr/>
              <w:t>$979,017</w:t>
            </w:r>
          </w:p>
        </w:tc>
        <w:tc>
          <w:tcPr>
            <w:tcW w:w="1224" w:type="dxa"/>
            <w:tcBorders/>
          </w:tcPr>
          <w:p>
            <w:pPr>
              <w:pStyle w:val="Normal"/>
              <w:jc w:val="center"/>
              <w:rPr/>
            </w:pPr>
            <w:r>
              <w:rPr/>
              <w:t>$979,017</w:t>
            </w:r>
          </w:p>
        </w:tc>
      </w:tr>
      <w:tr>
        <w:trPr/>
        <w:tc>
          <w:tcPr>
            <w:tcW w:w="2923" w:type="dxa"/>
            <w:tcBorders/>
          </w:tcPr>
          <w:p>
            <w:pPr>
              <w:pStyle w:val="Normal"/>
              <w:rPr>
                <w:u w:val="single"/>
              </w:rPr>
            </w:pPr>
            <w:r>
              <w:rPr>
                <w:u w:val="single"/>
              </w:rPr>
              <w:t>Fixed O&amp;M</w:t>
            </w:r>
          </w:p>
        </w:tc>
        <w:tc>
          <w:tcPr>
            <w:tcW w:w="1224" w:type="dxa"/>
            <w:tcBorders/>
          </w:tcPr>
          <w:p>
            <w:pPr>
              <w:pStyle w:val="Normal"/>
              <w:jc w:val="center"/>
              <w:rPr>
                <w:u w:val="single"/>
              </w:rPr>
            </w:pPr>
            <w:r>
              <w:rPr>
                <w:u w:val="single"/>
              </w:rPr>
              <w:t>$650,000</w:t>
            </w:r>
          </w:p>
        </w:tc>
        <w:tc>
          <w:tcPr>
            <w:tcW w:w="1224" w:type="dxa"/>
            <w:tcBorders/>
          </w:tcPr>
          <w:p>
            <w:pPr>
              <w:pStyle w:val="Normal"/>
              <w:jc w:val="center"/>
              <w:rPr>
                <w:u w:val="single"/>
              </w:rPr>
            </w:pPr>
            <w:r>
              <w:rPr>
                <w:u w:val="single"/>
              </w:rPr>
              <w:t>$1,250,000</w:t>
            </w:r>
          </w:p>
        </w:tc>
        <w:tc>
          <w:tcPr>
            <w:tcW w:w="1224" w:type="dxa"/>
            <w:tcBorders/>
          </w:tcPr>
          <w:p>
            <w:pPr>
              <w:pStyle w:val="Normal"/>
              <w:jc w:val="center"/>
              <w:rPr>
                <w:u w:val="single"/>
              </w:rPr>
            </w:pPr>
            <w:r>
              <w:rPr>
                <w:u w:val="single"/>
              </w:rPr>
              <w:t>$1,250,000</w:t>
            </w:r>
          </w:p>
        </w:tc>
        <w:tc>
          <w:tcPr>
            <w:tcW w:w="1224" w:type="dxa"/>
            <w:tcBorders/>
          </w:tcPr>
          <w:p>
            <w:pPr>
              <w:pStyle w:val="Normal"/>
              <w:jc w:val="center"/>
              <w:rPr>
                <w:u w:val="single"/>
              </w:rPr>
            </w:pPr>
            <w:r>
              <w:rPr>
                <w:u w:val="single"/>
              </w:rPr>
              <w:t>$418,500</w:t>
            </w:r>
          </w:p>
        </w:tc>
        <w:tc>
          <w:tcPr>
            <w:tcW w:w="1224" w:type="dxa"/>
            <w:tcBorders/>
          </w:tcPr>
          <w:p>
            <w:pPr>
              <w:pStyle w:val="Normal"/>
              <w:jc w:val="center"/>
              <w:rPr>
                <w:u w:val="single"/>
              </w:rPr>
            </w:pPr>
            <w:r>
              <w:rPr>
                <w:u w:val="single"/>
              </w:rPr>
              <w:t>$418,500</w:t>
            </w:r>
          </w:p>
        </w:tc>
      </w:tr>
      <w:tr>
        <w:trPr/>
        <w:tc>
          <w:tcPr>
            <w:tcW w:w="2923" w:type="dxa"/>
            <w:tcBorders/>
          </w:tcPr>
          <w:p>
            <w:pPr>
              <w:pStyle w:val="Normal"/>
              <w:rPr/>
            </w:pPr>
            <w:r>
              <w:rPr/>
              <w:t>Total Operating Expenses</w:t>
            </w:r>
          </w:p>
        </w:tc>
        <w:tc>
          <w:tcPr>
            <w:tcW w:w="1224" w:type="dxa"/>
            <w:tcBorders/>
          </w:tcPr>
          <w:p>
            <w:pPr>
              <w:pStyle w:val="Normal"/>
              <w:jc w:val="center"/>
              <w:rPr/>
            </w:pPr>
            <w:r>
              <w:rPr/>
              <w:t>$4,732,994</w:t>
            </w:r>
          </w:p>
        </w:tc>
        <w:tc>
          <w:tcPr>
            <w:tcW w:w="1224" w:type="dxa"/>
            <w:tcBorders/>
          </w:tcPr>
          <w:p>
            <w:pPr>
              <w:pStyle w:val="Normal"/>
              <w:jc w:val="center"/>
              <w:rPr/>
            </w:pPr>
            <w:r>
              <w:rPr/>
              <w:t>$13,438,872</w:t>
            </w:r>
          </w:p>
        </w:tc>
        <w:tc>
          <w:tcPr>
            <w:tcW w:w="1224" w:type="dxa"/>
            <w:tcBorders/>
          </w:tcPr>
          <w:p>
            <w:pPr>
              <w:pStyle w:val="Normal"/>
              <w:jc w:val="center"/>
              <w:rPr/>
            </w:pPr>
            <w:r>
              <w:rPr/>
              <w:t>$15,685,299</w:t>
            </w:r>
          </w:p>
        </w:tc>
        <w:tc>
          <w:tcPr>
            <w:tcW w:w="1224" w:type="dxa"/>
            <w:tcBorders/>
          </w:tcPr>
          <w:p>
            <w:pPr>
              <w:pStyle w:val="Normal"/>
              <w:jc w:val="center"/>
              <w:rPr/>
            </w:pPr>
            <w:r>
              <w:rPr/>
              <w:t>$13,803,854</w:t>
            </w:r>
          </w:p>
        </w:tc>
        <w:tc>
          <w:tcPr>
            <w:tcW w:w="1224" w:type="dxa"/>
            <w:tcBorders/>
          </w:tcPr>
          <w:p>
            <w:pPr>
              <w:pStyle w:val="Normal"/>
              <w:jc w:val="center"/>
              <w:rPr/>
            </w:pPr>
            <w:r>
              <w:rPr/>
              <w:t>$13,534,255</w:t>
            </w:r>
          </w:p>
        </w:tc>
      </w:tr>
      <w:tr>
        <w:trPr/>
        <w:tc>
          <w:tcPr>
            <w:tcW w:w="2923" w:type="dxa"/>
            <w:tcBorders/>
          </w:tcPr>
          <w:p>
            <w:pPr>
              <w:pStyle w:val="Normal"/>
              <w:snapToGrid w:val="false"/>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c>
          <w:tcPr>
            <w:tcW w:w="1224" w:type="dxa"/>
            <w:tcBorders/>
          </w:tcPr>
          <w:p>
            <w:pPr>
              <w:pStyle w:val="Normal"/>
              <w:snapToGrid w:val="false"/>
              <w:jc w:val="center"/>
              <w:rPr/>
            </w:pPr>
            <w:r>
              <w:rPr/>
            </w:r>
          </w:p>
        </w:tc>
      </w:tr>
      <w:tr>
        <w:trPr/>
        <w:tc>
          <w:tcPr>
            <w:tcW w:w="2923" w:type="dxa"/>
            <w:tcBorders/>
          </w:tcPr>
          <w:p>
            <w:pPr>
              <w:pStyle w:val="Normal"/>
              <w:rPr/>
            </w:pPr>
            <w:r>
              <w:rPr/>
              <w:t>Earnings from Operations</w:t>
            </w:r>
          </w:p>
        </w:tc>
        <w:tc>
          <w:tcPr>
            <w:tcW w:w="1224" w:type="dxa"/>
            <w:tcBorders/>
          </w:tcPr>
          <w:p>
            <w:pPr>
              <w:pStyle w:val="Normal"/>
              <w:jc w:val="center"/>
              <w:rPr/>
            </w:pPr>
            <w:r>
              <w:rPr/>
              <w:t>$636,069</w:t>
            </w:r>
          </w:p>
        </w:tc>
        <w:tc>
          <w:tcPr>
            <w:tcW w:w="1224" w:type="dxa"/>
            <w:tcBorders/>
          </w:tcPr>
          <w:p>
            <w:pPr>
              <w:pStyle w:val="Normal"/>
              <w:jc w:val="center"/>
              <w:rPr/>
            </w:pPr>
            <w:r>
              <w:rPr/>
              <w:t>$2,867,172</w:t>
            </w:r>
          </w:p>
        </w:tc>
        <w:tc>
          <w:tcPr>
            <w:tcW w:w="1224" w:type="dxa"/>
            <w:tcBorders/>
          </w:tcPr>
          <w:p>
            <w:pPr>
              <w:pStyle w:val="Normal"/>
              <w:jc w:val="center"/>
              <w:rPr/>
            </w:pPr>
            <w:r>
              <w:rPr/>
              <w:t>$4,200,120</w:t>
            </w:r>
          </w:p>
        </w:tc>
        <w:tc>
          <w:tcPr>
            <w:tcW w:w="1224" w:type="dxa"/>
            <w:tcBorders/>
          </w:tcPr>
          <w:p>
            <w:pPr>
              <w:pStyle w:val="Normal"/>
              <w:jc w:val="center"/>
              <w:rPr/>
            </w:pPr>
            <w:r>
              <w:rPr/>
              <w:t>$6,638,356</w:t>
            </w:r>
          </w:p>
        </w:tc>
        <w:tc>
          <w:tcPr>
            <w:tcW w:w="1224" w:type="dxa"/>
            <w:tcBorders/>
          </w:tcPr>
          <w:p>
            <w:pPr>
              <w:pStyle w:val="Normal"/>
              <w:jc w:val="center"/>
              <w:rPr/>
            </w:pPr>
            <w:r>
              <w:rPr/>
              <w:t>$7,480,338</w:t>
            </w:r>
          </w:p>
        </w:tc>
      </w:tr>
    </w:tbl>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u w:val="single"/>
    </w:rPr>
  </w:style>
  <w:style w:type="paragraph" w:styleId="Heading2">
    <w:name w:val="heading 2"/>
    <w:basedOn w:val="Normal"/>
    <w:next w:val="Normal"/>
    <w:qFormat/>
    <w:pPr>
      <w:keepNext w:val="true"/>
      <w:numPr>
        <w:ilvl w:val="1"/>
        <w:numId w:val="1"/>
      </w:numPr>
      <w:outlineLvl w:val="1"/>
    </w:pPr>
    <w:rPr>
      <w:b/>
      <w:bCs/>
      <w:sz w:val="24"/>
      <w:szCs w:val="24"/>
      <w:u w:val="single"/>
    </w:rPr>
  </w:style>
  <w:style w:type="paragraph" w:styleId="Heading3">
    <w:name w:val="heading 3"/>
    <w:basedOn w:val="Normal"/>
    <w:next w:val="Normal"/>
    <w:qFormat/>
    <w:pPr>
      <w:keepNext w:val="true"/>
      <w:numPr>
        <w:ilvl w:val="2"/>
        <w:numId w:val="1"/>
      </w:numPr>
      <w:outlineLvl w:val="2"/>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sz w:val="22"/>
      <w:szCs w:val="22"/>
      <w:u w:val="single"/>
    </w:rPr>
  </w:style>
  <w:style w:type="paragraph" w:styleId="BodyText2">
    <w:name w:val="Body Text 2"/>
    <w:basedOn w:val="Normal"/>
    <w:qFormat/>
    <w:pPr>
      <w:jc w:val="both"/>
    </w:pPr>
    <w:rPr>
      <w:sz w:val="24"/>
      <w:szCs w:val="24"/>
    </w:rPr>
  </w:style>
  <w:style w:type="paragraph" w:styleId="BodyText3">
    <w:name w:val="Body Text 3"/>
    <w:basedOn w:val="Normal"/>
    <w:qFormat/>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2000-10-27T17:45:00Z</dcterms:created>
  <dc:creator>hkroll</dc:creator>
  <dc:description/>
  <dc:language>en-CA</dc:language>
  <cp:lastModifiedBy>hkroll</cp:lastModifiedBy>
  <cp:lastPrinted>2000-10-29T17:55:00Z</cp:lastPrinted>
  <dcterms:modified xsi:type="dcterms:W3CDTF">2000-10-29T22:12:00Z</dcterms:modified>
  <cp:revision>1</cp:revision>
  <dc:subject/>
  <dc:title>CRRA Filing</dc:title>
</cp:coreProperties>
</file>