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3,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Connecticut Resources Recovery Authority</w:t>
      </w:r>
    </w:p>
    <w:p>
      <w:pPr>
        <w:pStyle w:val="Normal"/>
        <w:jc w:val="both"/>
        <w:rPr>
          <w:rFonts w:ascii="Times New Roman" w:hAnsi="Times New Roman" w:cs="Times New Roman"/>
          <w:sz w:val="22"/>
        </w:rPr>
      </w:pPr>
      <w:r>
        <w:rPr>
          <w:rFonts w:cs="Times New Roman" w:ascii="Times New Roman" w:hAnsi="Times New Roman"/>
          <w:sz w:val="22"/>
        </w:rPr>
        <w:t>100 Constitution Plaza</w:t>
      </w:r>
    </w:p>
    <w:p>
      <w:pPr>
        <w:pStyle w:val="Normal"/>
        <w:jc w:val="both"/>
        <w:rPr>
          <w:rFonts w:ascii="Times New Roman" w:hAnsi="Times New Roman" w:cs="Times New Roman"/>
          <w:sz w:val="22"/>
        </w:rPr>
      </w:pPr>
      <w:r>
        <w:rPr>
          <w:rFonts w:cs="Times New Roman" w:ascii="Times New Roman" w:hAnsi="Times New Roman"/>
          <w:sz w:val="22"/>
        </w:rPr>
        <w:t>Hartford, CT  06103-1702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Attention:</w:t>
        <w:tab/>
        <w:t>Robert E. Wright</w:t>
      </w:r>
    </w:p>
    <w:p>
      <w:pPr>
        <w:pStyle w:val="Normal"/>
        <w:ind w:firstLine="720" w:start="720" w:end="0"/>
        <w:jc w:val="both"/>
        <w:rPr>
          <w:rFonts w:ascii="Times New Roman" w:hAnsi="Times New Roman" w:cs="Times New Roman"/>
          <w:sz w:val="22"/>
        </w:rPr>
      </w:pPr>
      <w:r>
        <w:rPr>
          <w:rFonts w:cs="Times New Roman" w:ascii="Times New Roman" w:hAnsi="Times New Roman"/>
          <w:sz w:val="22"/>
        </w:rPr>
        <w:t>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Connecticut Resources Recovery Authority ("CRRA”), and Enron North America Corp. ("ENA") (CRRA and ENA may be referred to individually as a “Party” and collectively as “Parties”) are prepared to furnish each other with information in connection with the proposed development of fuel cell projects in the State of Connecticut which projects will involve the use of the State of Connecticut's conservation and renewables funds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w:t>
      </w:r>
      <w:r>
        <w:rPr>
          <w:sz w:val="22"/>
        </w:rPr>
        <w:t>Parties</w:t>
      </w:r>
      <w:r>
        <w:rPr>
          <w:rFonts w:cs="Times New Roman" w:ascii="Times New Roman" w:hAnsi="Times New Roman"/>
          <w:sz w:val="22"/>
        </w:rPr>
        <w:t xml:space="preserve"> hereby waiving their right, if any, to recover punitive or exemplary damages, either in arbitration or in litigation.</w:t>
      </w:r>
    </w:p>
    <w:p>
      <w:pPr>
        <w:pStyle w:val="Normal"/>
        <w:numPr>
          <w:ilvl w:val="0"/>
          <w:numId w:val="2"/>
        </w:numPr>
        <w:spacing w:before="240" w:after="0"/>
        <w:jc w:val="both"/>
        <w:rPr>
          <w:rFonts w:ascii="Times New Roman" w:hAnsi="Times New Roman" w:cs="Times New Roman"/>
          <w:sz w:val="22"/>
        </w:rPr>
      </w:pPr>
      <w:r>
        <w:rPr>
          <w:rFonts w:cs="Times New Roman" w:ascii="Times New Roman" w:hAnsi="Times New Roman"/>
          <w:sz w:val="22"/>
        </w:rPr>
        <w:t>During the term of this Agreement CRRA will not and will not assist or encourage others to, and will cause its Representatives not to and not assist or encourage others to, directly or indirectly: (i) enter into any discussions, negotiations, arrangements with any third p</w:t>
      </w:r>
      <w:r>
        <w:rPr>
          <w:sz w:val="22"/>
        </w:rPr>
        <w:t>arty</w:t>
      </w:r>
      <w:r>
        <w:rPr>
          <w:rFonts w:cs="Times New Roman" w:ascii="Times New Roman" w:hAnsi="Times New Roman"/>
          <w:sz w:val="22"/>
        </w:rPr>
        <w:t xml:space="preserve"> which could pre-empt, preclude or adversely affect the Transaction; or (ii) pursue or engage in the Transaction independently or with any Person other than ENA.</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 xml:space="preserve">The </w:t>
      </w:r>
      <w:r>
        <w:rPr>
          <w:sz w:val="22"/>
        </w:rPr>
        <w:t>Parties</w:t>
      </w:r>
      <w:r>
        <w:rPr>
          <w:rFonts w:cs="Times New Roman" w:ascii="Times New Roman" w:hAnsi="Times New Roman"/>
          <w:sz w:val="22"/>
        </w:rPr>
        <w:t xml:space="preserve">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one year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tab/>
        <w:tab/>
        <w:tab/>
        <w:tab/>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tab/>
        <w:tab/>
        <w:tab/>
        <w:tab/>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pPr>
      <w:r>
        <w:rPr>
          <w:rFonts w:cs="Times New Roman" w:ascii="Times New Roman" w:hAnsi="Times New Roman"/>
          <w:caps/>
          <w:sz w:val="22"/>
        </w:rPr>
        <w:t>Connecticut Resources RecoveryAuthority</w:t>
      </w:r>
      <w:r>
        <w:rPr>
          <w:rFonts w:cs="Times New Roman" w:ascii="Times New Roman" w:hAnsi="Times New Roman"/>
          <w:sz w:val="22"/>
        </w:rPr>
        <w:tab/>
        <w:tab/>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By: </w:t>
      </w:r>
      <w:r>
        <w:rPr>
          <w:rFonts w:cs="Times New Roman" w:ascii="Times New Roman" w:hAnsi="Times New Roman"/>
          <w:sz w:val="22"/>
          <w:u w:val="single"/>
        </w:rPr>
        <w:tab/>
      </w:r>
      <w:r>
        <w:rPr>
          <w:rFonts w:cs="Times New Roman" w:ascii="Times New Roman" w:hAnsi="Times New Roman"/>
          <w:sz w:val="22"/>
        </w:rPr>
        <w:tab/>
        <w:t>By:</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jc w:val="both"/>
        <w:rPr/>
      </w:pPr>
      <w:r>
        <w:rPr>
          <w:rFonts w:cs="Times New Roman" w:ascii="Times New Roman" w:hAnsi="Times New Roman"/>
          <w:sz w:val="22"/>
        </w:rPr>
        <w:t xml:space="preserve">Name: </w:t>
      </w:r>
      <w:r>
        <w:rPr>
          <w:rFonts w:cs="Times New Roman" w:ascii="Times New Roman" w:hAnsi="Times New Roman"/>
          <w:sz w:val="22"/>
          <w:u w:val="single"/>
        </w:rPr>
        <w:tab/>
      </w:r>
      <w:r>
        <w:rPr>
          <w:rFonts w:cs="Times New Roman" w:ascii="Times New Roman" w:hAnsi="Times New Roman"/>
          <w:sz w:val="22"/>
        </w:rPr>
        <w:tab/>
        <w:t>Name: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r>
        <w:rPr>
          <w:rFonts w:cs="Times New Roman" w:ascii="Times New Roman" w:hAnsi="Times New Roman"/>
          <w:sz w:val="22"/>
        </w:rPr>
        <w:tab/>
        <w:t>Title:</w:t>
      </w:r>
      <w:r>
        <w:rPr>
          <w:rFonts w:cs="Times New Roman" w:ascii="Times New Roman" w:hAnsi="Times New Roman"/>
          <w:sz w:val="22"/>
          <w:u w:val="single"/>
        </w:rPr>
        <w:tab/>
        <w:tab/>
        <w:tab/>
        <w:tab/>
        <w:tab/>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u w:val="single"/>
        </w:rPr>
      </w:pPr>
      <w:r>
        <w:rPr>
          <w:rFonts w:cs="Times New Roman" w:ascii="Times New Roman" w:hAnsi="Times New Roman"/>
          <w:sz w:val="22"/>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/mnt/main-storage/datasets/enron-docs/doc/CRRA_CA.doc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CRRA</w:t>
    </w:r>
  </w:p>
  <w:p>
    <w:pPr>
      <w:pStyle w:val="Header"/>
      <w:rPr>
        <w:rFonts w:ascii="Times New Roman" w:hAnsi="Times New Roman" w:cs="Times New Roman"/>
        <w:sz w:val="22"/>
      </w:rPr>
    </w:pPr>
    <w:r>
      <w:rPr>
        <w:rFonts w:cs="Times New Roman" w:ascii="Times New Roman" w:hAnsi="Times New Roman"/>
        <w:sz w:val="22"/>
      </w:rPr>
      <w:t>May 1,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2000-05-03T13:01:00Z</dcterms:created>
  <dc:creator>ECT</dc:creator>
  <dc:description/>
  <dc:language>en-CA</dc:language>
  <cp:lastModifiedBy>hkroll</cp:lastModifiedBy>
  <cp:lastPrinted>2000-05-03T10:30:00Z</cp:lastPrinted>
  <dcterms:modified xsi:type="dcterms:W3CDTF">2000-05-03T13:01:00Z</dcterms:modified>
  <cp:revision>2</cp:revision>
  <dc:subject/>
  <dc:title>Reciprocal Confidentiality Agreement</dc:title>
</cp:coreProperties>
</file>