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114300" distR="114300" simplePos="0" locked="0" layoutInCell="0" allowOverlap="1" relativeHeight="2">
                <wp:simplePos x="0" y="0"/>
                <wp:positionH relativeFrom="page">
                  <wp:posOffset>753745</wp:posOffset>
                </wp:positionH>
                <wp:positionV relativeFrom="paragraph">
                  <wp:posOffset>635</wp:posOffset>
                </wp:positionV>
                <wp:extent cx="6370320" cy="1567180"/>
                <wp:effectExtent l="0" t="0" r="0" b="0"/>
                <wp:wrapSquare wrapText="bothSides"/>
                <wp:docPr id="1" name="Frame1"/>
                <a:graphic xmlns:a="http://schemas.openxmlformats.org/drawingml/2006/main">
                  <a:graphicData uri="http://schemas.microsoft.com/office/word/2010/wordprocessingShape">
                    <wps:wsp>
                      <wps:cNvSpPr txBox="1"/>
                      <wps:spPr>
                        <a:xfrm>
                          <a:off x="0" y="0"/>
                          <a:ext cx="6370320" cy="1567180"/>
                        </a:xfrm>
                        <a:prstGeom prst="rect"/>
                        <a:solidFill>
                          <a:srgbClr val="FFFFFF">
                            <a:alpha val="0"/>
                          </a:srgbClr>
                        </a:solidFill>
                        <a:ln w="9525">
                          <a:solidFill>
                            <a:srgbClr val="000000"/>
                          </a:solidFill>
                        </a:ln>
                      </wps:spPr>
                      <wps:txbx>
                        <w:txbxContent>
                          <w:p>
                            <w:pPr>
                              <w:pStyle w:val="Normal"/>
                              <w:shd w:fill="FFFFFF" w:val="clear"/>
                              <w:jc w:val="center"/>
                              <w:rPr/>
                            </w:pPr>
                            <w:r>
                              <w:rPr>
                                <w:b/>
                              </w:rPr>
                              <w:drawing>
                                <wp:inline distT="0" distB="0" distL="0" distR="0">
                                  <wp:extent cx="571500" cy="571500"/>
                                  <wp:effectExtent l="0" t="0" r="0" b="0"/>
                                  <wp:docPr id="2"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mSTN%20copy" descr="" title=""/>
                                          <pic:cNvPicPr>
                                            <a:picLocks noChangeAspect="1" noChangeArrowheads="1"/>
                                          </pic:cNvPicPr>
                                        </pic:nvPicPr>
                                        <pic:blipFill>
                                          <a:blip r:embed="rId2"/>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wps:txbx>
                      <wps:bodyPr anchor="t" lIns="88900" tIns="88900" rIns="88900" bIns="88900">
                        <a:noAutofit/>
                      </wps:bodyPr>
                    </wps:wsp>
                  </a:graphicData>
                </a:graphic>
              </wp:anchor>
            </w:drawing>
          </mc:Choice>
          <mc:Fallback>
            <w:pict>
              <v:rect fillcolor="#FFFFFF" strokecolor="#000000" strokeweight="0pt" style="position:absolute;rotation:-0;width:501.6pt;height:123.4pt;mso-wrap-distance-left:9pt;mso-wrap-distance-right:9pt;mso-wrap-distance-top:0pt;mso-wrap-distance-bottom:0pt;margin-top:0.05pt;mso-position-vertical-relative:text;margin-left:59.35pt;mso-position-horizontal-relative:page">
                <v:fill opacity="0f"/>
                <v:textbox inset="0.0972222222222222in,0.0972222222222222in,0.0972222222222222in,0.0972222222222222in">
                  <w:txbxContent>
                    <w:p>
                      <w:pPr>
                        <w:pStyle w:val="Normal"/>
                        <w:shd w:fill="FFFFFF" w:val="clear"/>
                        <w:jc w:val="center"/>
                        <w:rPr/>
                      </w:pPr>
                      <w:r>
                        <w:rPr>
                          <w:b/>
                        </w:rPr>
                        <w:drawing>
                          <wp:inline distT="0" distB="0" distL="0" distR="0">
                            <wp:extent cx="571500" cy="571500"/>
                            <wp:effectExtent l="0" t="0" r="0" b="0"/>
                            <wp:docPr id="3"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rmSTN%20copy" descr="" title=""/>
                                    <pic:cNvPicPr>
                                      <a:picLocks noChangeAspect="1" noChangeArrowheads="1"/>
                                    </pic:cNvPicPr>
                                  </pic:nvPicPr>
                                  <pic:blipFill>
                                    <a:blip r:embed="rId3"/>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v:textbox>
                <w10:wrap type="square"/>
              </v:rect>
            </w:pict>
          </mc:Fallback>
        </mc:AlternateContent>
      </w:r>
    </w:p>
    <w:p>
      <w:pPr>
        <w:pStyle w:val="Normal"/>
        <w:rPr/>
      </w:pPr>
      <w:r>
        <w:rPr/>
      </w:r>
    </w:p>
    <w:p>
      <w:pPr>
        <w:pStyle w:val="Normal"/>
        <w:rPr/>
      </w:pPr>
      <w:r>
        <w:rPr/>
        <w:t>December 2000</w:t>
      </w:r>
    </w:p>
    <w:p>
      <w:pPr>
        <w:pStyle w:val="BodyText"/>
        <w:rPr>
          <w:sz w:val="20"/>
        </w:rPr>
      </w:pPr>
      <w:r>
        <w:rPr>
          <w:sz w:val="20"/>
        </w:rPr>
      </w:r>
    </w:p>
    <w:p>
      <w:pPr>
        <w:pStyle w:val="BodyText"/>
        <w:rPr>
          <w:rFonts w:ascii="TIMES" w:hAnsi="TIMES" w:cs="TIMES"/>
          <w:sz w:val="20"/>
        </w:rPr>
      </w:pPr>
      <w:r>
        <w:rPr>
          <w:rFonts w:cs="TIMES" w:ascii="TIMES" w:hAnsi="TIMES"/>
          <w:sz w:val="20"/>
        </w:rPr>
        <w:t>Dear Business Executive:</w:t>
      </w:r>
    </w:p>
    <w:p>
      <w:pPr>
        <w:pStyle w:val="BodyText"/>
        <w:rPr>
          <w:rFonts w:ascii="TIMES" w:hAnsi="TIMES" w:cs="TIMES"/>
          <w:sz w:val="20"/>
        </w:rPr>
      </w:pPr>
      <w:r>
        <w:rPr>
          <w:rFonts w:cs="TIMES" w:ascii="TIMES" w:hAnsi="TIMES"/>
          <w:sz w:val="20"/>
        </w:rPr>
        <w:t xml:space="preserve">On March 4 – 9, 2001, at the Stanford Graduate School of Business, we will be teaching a short, intensive executive course on Credit Risk Modeling for Financial Institutions (CRM).  Previous versions of this course have been enthusiastically received by participants both in London and at Stanford.  Based on that response and the growing importance and challenges of measuring and pricing credit risk, we are offering this course again with increased scope and a variety of new features.  We have attached a course abstract and outline, an application form, and a brochure. </w:t>
      </w:r>
    </w:p>
    <w:p>
      <w:pPr>
        <w:pStyle w:val="BodyText"/>
        <w:rPr>
          <w:rFonts w:ascii="TIMES" w:hAnsi="TIMES" w:cs="TIMES"/>
          <w:sz w:val="20"/>
        </w:rPr>
      </w:pPr>
      <w:r>
        <w:rPr>
          <w:rFonts w:cs="TIMES" w:ascii="TIMES" w:hAnsi="TIMES"/>
          <w:sz w:val="20"/>
        </w:rPr>
        <w:t>CRM is directed to risk managers, research staff, and traders with responsibility for credit risk or credit-related products, including bond and loan portfolios, OTC derivative portfolios, convertible bonds, and credit derivatives.  While there are other courses with similar objectives, we believe that our course has several distinguishing features which make it worth your attention:</w:t>
      </w:r>
    </w:p>
    <w:p>
      <w:pPr>
        <w:pStyle w:val="List"/>
        <w:numPr>
          <w:ilvl w:val="0"/>
          <w:numId w:val="3"/>
        </w:numPr>
        <w:rPr>
          <w:rFonts w:ascii="TIMES" w:hAnsi="TIMES" w:cs="TIMES"/>
          <w:sz w:val="20"/>
        </w:rPr>
      </w:pPr>
      <w:r>
        <w:rPr>
          <w:rFonts w:cs="TIMES" w:ascii="TIMES" w:hAnsi="TIMES"/>
          <w:sz w:val="20"/>
        </w:rPr>
        <w:t xml:space="preserve">Our discussions of credit risk modeling is closely integrated with analyses of the empirical behavior of returns and credit risk.  The course will critically evaluate alternative measures of actuarial and yield-spread-implied default risk, recoveries, and diversification effects across counterparties.  We also explore strategies for estimating from historical data the correlation among default risks of publicly traded issuers, for simulating correlated defaults and the role of counterparty correlation in valuing credit-linked notes, first-to-default swaps, collateralized debt obligations, and other multi-name credit positions such as loan guarantees. </w:t>
      </w:r>
    </w:p>
    <w:p>
      <w:pPr>
        <w:pStyle w:val="List"/>
        <w:ind w:hanging="0" w:start="0" w:end="0"/>
        <w:rPr>
          <w:rFonts w:ascii="TIMES" w:hAnsi="TIMES" w:cs="TIMES"/>
          <w:sz w:val="20"/>
        </w:rPr>
      </w:pPr>
      <w:r>
        <w:rPr>
          <w:rFonts w:cs="TIMES" w:ascii="TIMES" w:hAnsi="TIMES"/>
          <w:sz w:val="20"/>
        </w:rPr>
      </w:r>
    </w:p>
    <w:p>
      <w:pPr>
        <w:pStyle w:val="List"/>
        <w:numPr>
          <w:ilvl w:val="0"/>
          <w:numId w:val="3"/>
        </w:numPr>
        <w:rPr>
          <w:rFonts w:ascii="TIMES" w:hAnsi="TIMES" w:cs="TIMES"/>
          <w:sz w:val="20"/>
        </w:rPr>
      </w:pPr>
      <w:r>
        <w:rPr>
          <w:rFonts w:cs="TIMES" w:ascii="TIMES" w:hAnsi="TIMES"/>
          <w:sz w:val="20"/>
        </w:rPr>
        <w:t xml:space="preserve">We maintain an open point of view regarding the measurement of these components of credit risk and how to value credit-sensitive instruments.  The course will introduce and critically evaluate several different valuation models for pricing credit derivatives and for measuring the credit risk of portfolios of loans, OTC derivatives, etc.   We want to stimulate participants to critically evaluate, and to think beyond, their current approaches to modeling credit risk. </w:t>
      </w:r>
    </w:p>
    <w:p>
      <w:pPr>
        <w:pStyle w:val="List"/>
        <w:ind w:hanging="0" w:start="0" w:end="0"/>
        <w:rPr>
          <w:rFonts w:ascii="TIMES" w:hAnsi="TIMES" w:cs="TIMES"/>
          <w:sz w:val="20"/>
        </w:rPr>
      </w:pPr>
      <w:r>
        <w:rPr>
          <w:rFonts w:cs="TIMES" w:ascii="TIMES" w:hAnsi="TIMES"/>
          <w:sz w:val="20"/>
        </w:rPr>
      </w:r>
    </w:p>
    <w:p>
      <w:pPr>
        <w:pStyle w:val="List"/>
        <w:numPr>
          <w:ilvl w:val="0"/>
          <w:numId w:val="3"/>
        </w:numPr>
        <w:rPr>
          <w:rFonts w:ascii="TIMES" w:hAnsi="TIMES" w:cs="TIMES"/>
          <w:sz w:val="20"/>
        </w:rPr>
      </w:pPr>
      <w:r>
        <w:rPr>
          <w:rFonts w:cs="TIMES" w:ascii="TIMES" w:hAnsi="TIMES"/>
          <w:sz w:val="20"/>
        </w:rPr>
        <w:t>Our goal is to provide participants with a broader and deeper understanding of the nature of the credit risks faced by brokers/dealers in derivatives, the strengths and limitations of current practice in modeling credit risk, and an assessment of the most likely sources of “surprises” in the performance of credit modeling frameworks.  We assume that course participants have had at least a basic work-related exposure to the standard applied-probability concepts often used in industry financial models of credit or market risk, such as Markov chains, normally distributed returns, and Poisson arrivals.</w:t>
      </w:r>
    </w:p>
    <w:p>
      <w:pPr>
        <w:pStyle w:val="List"/>
        <w:ind w:hanging="0" w:start="0" w:end="0"/>
        <w:rPr>
          <w:rFonts w:ascii="TIMES" w:hAnsi="TIMES" w:cs="TIMES"/>
          <w:sz w:val="20"/>
        </w:rPr>
      </w:pPr>
      <w:r>
        <w:rPr>
          <w:rFonts w:cs="TIMES" w:ascii="TIMES" w:hAnsi="TIMES"/>
          <w:sz w:val="20"/>
        </w:rPr>
      </w:r>
    </w:p>
    <w:p>
      <w:pPr>
        <w:pStyle w:val="List"/>
        <w:rPr>
          <w:rFonts w:ascii="TIMES" w:hAnsi="TIMES" w:cs="TIMES"/>
          <w:sz w:val="20"/>
        </w:rPr>
      </w:pPr>
      <w:r>
        <w:rPr>
          <w:rFonts w:cs="TIMES" w:ascii="TIMES" w:hAnsi="TIMES"/>
          <w:sz w:val="20"/>
        </w:rPr>
        <w:t>4.</w:t>
        <w:tab/>
        <w:t xml:space="preserve">We present numerous examples throughout the course, with particular emphasis given to practical issues that arise in implementing credit modeling systems.  We cover model-based measurement of “discounts” for credit quality and potential credit explosures, and the integration of credit risk within value-at-risk systems.  In addition, we discuss in depth the valuation and hedging of credit-event swaps, collateralized debt obligations, and convertible bonds. </w:t>
      </w:r>
    </w:p>
    <w:p>
      <w:pPr>
        <w:pStyle w:val="List"/>
        <w:rPr>
          <w:rFonts w:ascii="TIMES" w:hAnsi="TIMES" w:cs="TIMES"/>
          <w:sz w:val="20"/>
        </w:rPr>
      </w:pPr>
      <w:r>
        <w:rPr>
          <w:rFonts w:cs="TIMES" w:ascii="TIMES" w:hAnsi="TIMES"/>
          <w:sz w:val="20"/>
        </w:rPr>
      </w:r>
    </w:p>
    <w:p>
      <w:pPr>
        <w:pStyle w:val="BodyText"/>
        <w:rPr/>
      </w:pPr>
      <w:r>
        <w:rPr>
          <w:rFonts w:cs="Times New Roman" w:ascii="Times New Roman" w:hAnsi="Times New Roman"/>
          <w:sz w:val="20"/>
        </w:rPr>
        <w:t xml:space="preserve">The course sessions will be held at the Stanford University, Graduate School of Business and the Schwab Residential Center on campus.  Please refer to our web site at </w:t>
      </w:r>
      <w:hyperlink r:id="rId4">
        <w:r>
          <w:rPr>
            <w:rStyle w:val="Hyperlink"/>
            <w:rFonts w:cs="Times New Roman" w:ascii="Times New Roman" w:hAnsi="Times New Roman"/>
            <w:sz w:val="20"/>
          </w:rPr>
          <w:t>www.gsb.stanford.edu/exed/crm</w:t>
        </w:r>
      </w:hyperlink>
      <w:r>
        <w:rPr>
          <w:rFonts w:cs="Times New Roman" w:ascii="Times New Roman" w:hAnsi="Times New Roman"/>
          <w:sz w:val="20"/>
        </w:rPr>
        <w:t xml:space="preserve"> for more detailed information.  You may also apply on-line.   If you have additional questions, please contact Shelby Kashiwamura, Program Manager at (650) 723-9356 or email at kashiwamura_shelby@gsb.stanford.edu.</w:t>
      </w:r>
    </w:p>
    <w:p>
      <w:pPr>
        <w:pStyle w:val="BodyText"/>
        <w:rPr>
          <w:rFonts w:ascii="TIMES" w:hAnsi="TIMES" w:cs="TIMES"/>
          <w:sz w:val="20"/>
        </w:rPr>
      </w:pPr>
      <w:r>
        <w:rPr>
          <w:rFonts w:cs="TIMES" w:ascii="TIMES" w:hAnsi="TIMES"/>
          <w:sz w:val="20"/>
        </w:rPr>
        <w:t>Please let us know if want to discuss your reactions to either course or their suitability for your firm.</w:t>
      </w:r>
    </w:p>
    <w:p>
      <w:pPr>
        <w:pStyle w:val="BodyText"/>
        <w:rPr>
          <w:rFonts w:ascii="TIMES" w:hAnsi="TIMES" w:cs="TIMES"/>
          <w:sz w:val="20"/>
        </w:rPr>
      </w:pPr>
      <w:r>
        <w:rPr>
          <w:rFonts w:cs="TIMES" w:ascii="TIMES" w:hAnsi="TIMES"/>
          <w:sz w:val="20"/>
        </w:rPr>
        <w:t>Sincere regards,</w:t>
      </w:r>
    </w:p>
    <w:p>
      <w:pPr>
        <w:pStyle w:val="BodyText"/>
        <w:rPr>
          <w:rFonts w:ascii="TIMES" w:hAnsi="TIMES" w:cs="TIMES"/>
          <w:sz w:val="20"/>
        </w:rPr>
      </w:pPr>
      <w:r>
        <w:rPr>
          <w:rFonts w:cs="TIMES" w:ascii="TIMES" w:hAnsi="TIMES"/>
          <w:sz w:val="20"/>
        </w:rPr>
      </w:r>
    </w:p>
    <w:p>
      <w:pPr>
        <w:pStyle w:val="Normal"/>
        <w:rPr>
          <w:rFonts w:ascii="TIMES" w:hAnsi="TIMES" w:cs="TIMES"/>
        </w:rPr>
      </w:pPr>
      <w:r>
        <w:rPr>
          <w:rFonts w:cs="TIMES" w:ascii="TIMES" w:hAnsi="TIMES"/>
        </w:rPr>
        <w:t>Darrell Duffie</w:t>
        <w:tab/>
        <w:t>and</w:t>
        <w:tab/>
        <w:t>Kenneth Singleton</w:t>
      </w:r>
    </w:p>
    <w:p>
      <w:pPr>
        <w:pStyle w:val="Normal"/>
        <w:rPr>
          <w:rFonts w:ascii="TIMES" w:hAnsi="TIMES" w:cs="TIMES"/>
        </w:rPr>
      </w:pPr>
      <w:r>
        <w:rPr>
          <w:rFonts w:cs="TIMES" w:ascii="TIMES" w:hAnsi="TIMES"/>
        </w:rPr>
        <w:t>Professors of Finance</w:t>
      </w:r>
    </w:p>
    <w:p>
      <w:pPr>
        <w:pStyle w:val="Normal"/>
        <w:rPr>
          <w:rFonts w:ascii="TIMES" w:hAnsi="TIMES" w:cs="TIMES"/>
        </w:rPr>
      </w:pPr>
      <w:r>
        <w:rPr>
          <w:rFonts w:cs="TIMES" w:ascii="TIMES" w:hAnsi="TIMES"/>
        </w:rPr>
      </w:r>
    </w:p>
    <w:p>
      <w:pPr>
        <w:pStyle w:val="Footer"/>
        <w:tabs>
          <w:tab w:val="left" w:pos="0" w:leader="none"/>
          <w:tab w:val="center" w:pos="4320" w:leader="none"/>
          <w:tab w:val="right" w:pos="8640" w:leader="none"/>
        </w:tabs>
        <w:ind w:start="-180" w:end="0"/>
        <w:rPr/>
      </w:pPr>
      <w:r>
        <w:rPr>
          <w:rFonts w:cs="Arial Narrow" w:ascii="Arial Narrow" w:hAnsi="Arial Narrow"/>
          <w:color w:val="800000"/>
          <w:sz w:val="22"/>
          <w:szCs w:val="22"/>
        </w:rPr>
        <w:tab/>
      </w:r>
      <w:r>
        <w:rPr>
          <w:rFonts w:cs="Arial Narrow" w:ascii="Arial Narrow" w:hAnsi="Arial Narrow"/>
          <w:color w:val="800000"/>
          <w:sz w:val="16"/>
          <w:szCs w:val="22"/>
        </w:rPr>
        <w:t xml:space="preserve">EXECUTIVE EDUCATION </w:t>
      </w:r>
      <w:r>
        <w:rPr>
          <w:rFonts w:eastAsia="Wingdings" w:cs="Wingdings" w:ascii="Wingdings" w:hAnsi="Wingdings"/>
          <w:color w:val="800000"/>
          <w:sz w:val="16"/>
          <w:szCs w:val="22"/>
        </w:rPr>
        <w:sym w:font="Wingdings" w:char="f077"/>
      </w:r>
      <w:r>
        <w:rPr>
          <w:rFonts w:cs="Arial Narrow" w:ascii="Arial Narrow" w:hAnsi="Arial Narrow"/>
          <w:color w:val="800000"/>
          <w:sz w:val="16"/>
          <w:szCs w:val="22"/>
        </w:rPr>
        <w:t xml:space="preserve"> STANFORD GRADUATE SCHOOL OF BUSINESS  </w:t>
      </w:r>
      <w:r>
        <w:rPr>
          <w:rFonts w:eastAsia="Wingdings" w:cs="Wingdings" w:ascii="Wingdings" w:hAnsi="Wingdings"/>
          <w:color w:val="800000"/>
          <w:sz w:val="16"/>
          <w:szCs w:val="22"/>
        </w:rPr>
        <w:sym w:font="Wingdings" w:char="f077"/>
      </w:r>
      <w:r>
        <w:rPr>
          <w:rFonts w:cs="Arial Narrow" w:ascii="Arial Narrow" w:hAnsi="Arial Narrow"/>
          <w:color w:val="800000"/>
          <w:sz w:val="16"/>
          <w:szCs w:val="22"/>
        </w:rPr>
        <w:t xml:space="preserve"> STANFORD UNIVERSITY      </w:t>
      </w:r>
    </w:p>
    <w:p>
      <w:pPr>
        <w:pStyle w:val="Normal"/>
        <w:rPr>
          <w:rFonts w:ascii="Arial Narrow" w:hAnsi="Arial Narrow" w:cs="Arial Narrow"/>
          <w:color w:val="800000"/>
          <w:sz w:val="16"/>
          <w:szCs w:val="22"/>
        </w:rPr>
      </w:pPr>
      <w:r>
        <w:rPr>
          <w:rFonts w:cs="Arial Narrow" w:ascii="Arial Narrow" w:hAnsi="Arial Narrow"/>
          <w:color w:val="800000"/>
          <w:sz w:val="16"/>
          <w:szCs w:val="22"/>
        </w:rPr>
        <w:t xml:space="preserve">STANFORD, CALIFORNIA 94305-5015 </w:t>
      </w:r>
      <w:r>
        <w:rPr>
          <w:rFonts w:eastAsia="Wingdings" w:cs="Wingdings" w:ascii="Wingdings" w:hAnsi="Wingdings"/>
          <w:color w:val="800000"/>
          <w:sz w:val="16"/>
          <w:szCs w:val="22"/>
        </w:rPr>
        <w:sym w:font="Wingdings" w:char="f077"/>
      </w:r>
      <w:r>
        <w:rPr>
          <w:rFonts w:cs="Arial Narrow" w:ascii="Arial Narrow" w:hAnsi="Arial Narrow"/>
          <w:color w:val="800000"/>
          <w:sz w:val="16"/>
          <w:szCs w:val="22"/>
        </w:rPr>
        <w:t xml:space="preserve"> (650) 723-3341 </w:t>
      </w:r>
      <w:r>
        <w:rPr>
          <w:rFonts w:eastAsia="Wingdings" w:cs="Wingdings" w:ascii="Wingdings" w:hAnsi="Wingdings"/>
          <w:color w:val="800000"/>
          <w:sz w:val="16"/>
          <w:szCs w:val="22"/>
        </w:rPr>
        <w:sym w:font="Wingdings" w:char="f077"/>
      </w:r>
      <w:r>
        <w:rPr>
          <w:rFonts w:cs="Arial Narrow" w:ascii="Arial Narrow" w:hAnsi="Arial Narrow"/>
          <w:color w:val="800000"/>
          <w:sz w:val="16"/>
          <w:szCs w:val="22"/>
        </w:rPr>
        <w:t xml:space="preserve"> FAX (650) 723-3950 </w:t>
      </w:r>
      <w:r>
        <w:rPr>
          <w:rFonts w:eastAsia="Wingdings" w:cs="Wingdings" w:ascii="Wingdings" w:hAnsi="Wingdings"/>
          <w:color w:val="800000"/>
          <w:sz w:val="16"/>
          <w:szCs w:val="22"/>
        </w:rPr>
        <w:sym w:font="Wingdings" w:char="f077"/>
      </w:r>
      <w:r>
        <w:rPr>
          <w:rFonts w:cs="Arial Narrow" w:ascii="Arial Narrow" w:hAnsi="Arial Narrow"/>
          <w:color w:val="800000"/>
          <w:sz w:val="16"/>
          <w:szCs w:val="22"/>
        </w:rPr>
        <w:t xml:space="preserve"> </w:t>
      </w:r>
      <w:hyperlink r:id="rId5">
        <w:r>
          <w:rPr>
            <w:rStyle w:val="Hyperlink"/>
            <w:rFonts w:cs="Arial Narrow" w:ascii="Arial Narrow" w:hAnsi="Arial Narrow"/>
            <w:sz w:val="16"/>
            <w:szCs w:val="22"/>
          </w:rPr>
          <w:t>www.gsb.stanford.edu/exed</w:t>
        </w:r>
      </w:hyperlink>
    </w:p>
    <w:p>
      <w:pPr>
        <w:pStyle w:val="Subtitle"/>
        <w:rPr>
          <w:rFonts w:ascii="Times New Roman" w:hAnsi="Times New Roman" w:cs="Times New Roman"/>
        </w:rPr>
      </w:pPr>
      <w:r>
        <w:rPr>
          <w:rFonts w:cs="Times New Roman" w:ascii="Times New Roman" w:hAnsi="Times New Roman"/>
        </w:rPr>
      </w:r>
      <w:r>
        <mc:AlternateContent>
          <mc:Choice Requires="wps">
            <w:drawing>
              <wp:anchor behindDoc="0" distT="0" distB="0" distL="114300" distR="114300" simplePos="0" locked="0" layoutInCell="0" allowOverlap="1" relativeHeight="3">
                <wp:simplePos x="0" y="0"/>
                <wp:positionH relativeFrom="page">
                  <wp:posOffset>753745</wp:posOffset>
                </wp:positionH>
                <wp:positionV relativeFrom="paragraph">
                  <wp:posOffset>635</wp:posOffset>
                </wp:positionV>
                <wp:extent cx="6370320" cy="1567180"/>
                <wp:effectExtent l="0" t="0" r="0" b="0"/>
                <wp:wrapSquare wrapText="bothSides"/>
                <wp:docPr id="4" name="Frame2"/>
                <a:graphic xmlns:a="http://schemas.openxmlformats.org/drawingml/2006/main">
                  <a:graphicData uri="http://schemas.microsoft.com/office/word/2010/wordprocessingShape">
                    <wps:wsp>
                      <wps:cNvSpPr txBox="1"/>
                      <wps:spPr>
                        <a:xfrm>
                          <a:off x="0" y="0"/>
                          <a:ext cx="6370320" cy="1567180"/>
                        </a:xfrm>
                        <a:prstGeom prst="rect"/>
                        <a:solidFill>
                          <a:srgbClr val="FFFFFF">
                            <a:alpha val="0"/>
                          </a:srgbClr>
                        </a:solidFill>
                        <a:ln w="9525">
                          <a:solidFill>
                            <a:srgbClr val="000000"/>
                          </a:solidFill>
                        </a:ln>
                      </wps:spPr>
                      <wps:txbx>
                        <w:txbxContent>
                          <w:p>
                            <w:pPr>
                              <w:pStyle w:val="Normal"/>
                              <w:shd w:fill="FFFFFF" w:val="clear"/>
                              <w:jc w:val="center"/>
                              <w:rPr/>
                            </w:pPr>
                            <w:r>
                              <w:rPr>
                                <w:b/>
                              </w:rPr>
                              <w:drawing>
                                <wp:inline distT="0" distB="0" distL="0" distR="0">
                                  <wp:extent cx="571500" cy="571500"/>
                                  <wp:effectExtent l="0" t="0" r="0" b="0"/>
                                  <wp:docPr id="5"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rmSTN%20copy" descr="" title=""/>
                                          <pic:cNvPicPr>
                                            <a:picLocks noChangeAspect="1" noChangeArrowheads="1"/>
                                          </pic:cNvPicPr>
                                        </pic:nvPicPr>
                                        <pic:blipFill>
                                          <a:blip r:embed="rId6"/>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wps:txbx>
                      <wps:bodyPr anchor="t" lIns="88900" tIns="88900" rIns="88900" bIns="88900">
                        <a:noAutofit/>
                      </wps:bodyPr>
                    </wps:wsp>
                  </a:graphicData>
                </a:graphic>
              </wp:anchor>
            </w:drawing>
          </mc:Choice>
          <mc:Fallback>
            <w:pict>
              <v:rect fillcolor="#FFFFFF" strokecolor="#000000" strokeweight="0pt" style="position:absolute;rotation:-0;width:501.6pt;height:123.4pt;mso-wrap-distance-left:9pt;mso-wrap-distance-right:9pt;mso-wrap-distance-top:0pt;mso-wrap-distance-bottom:0pt;margin-top:0.05pt;mso-position-vertical-relative:text;margin-left:59.35pt;mso-position-horizontal-relative:page">
                <v:fill opacity="0f"/>
                <v:textbox inset="0.0972222222222222in,0.0972222222222222in,0.0972222222222222in,0.0972222222222222in">
                  <w:txbxContent>
                    <w:p>
                      <w:pPr>
                        <w:pStyle w:val="Normal"/>
                        <w:shd w:fill="FFFFFF" w:val="clear"/>
                        <w:jc w:val="center"/>
                        <w:rPr/>
                      </w:pPr>
                      <w:r>
                        <w:rPr>
                          <w:b/>
                        </w:rPr>
                        <w:drawing>
                          <wp:inline distT="0" distB="0" distL="0" distR="0">
                            <wp:extent cx="571500" cy="571500"/>
                            <wp:effectExtent l="0" t="0" r="0" b="0"/>
                            <wp:docPr id="6"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rmSTN%20copy" descr="" title=""/>
                                    <pic:cNvPicPr>
                                      <a:picLocks noChangeAspect="1" noChangeArrowheads="1"/>
                                    </pic:cNvPicPr>
                                  </pic:nvPicPr>
                                  <pic:blipFill>
                                    <a:blip r:embed="rId7"/>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v:textbox>
                <w10:wrap type="square"/>
              </v:rect>
            </w:pict>
          </mc:Fallback>
        </mc:AlternateContent>
      </w:r>
    </w:p>
    <w:p>
      <w:pPr>
        <w:pStyle w:val="BodyTextIndent"/>
        <w:ind w:start="0" w:end="0"/>
        <w:jc w:val="center"/>
        <w:rPr>
          <w:b/>
        </w:rPr>
      </w:pPr>
      <w:r>
        <w:rPr>
          <w:b/>
          <w:sz w:val="24"/>
        </w:rPr>
        <w:t xml:space="preserve">   </w:t>
      </w:r>
      <w:r>
        <w:rPr>
          <w:b/>
          <w:sz w:val="24"/>
        </w:rPr>
        <w:t>COURSE ABSTRACT</w:t>
      </w:r>
    </w:p>
    <w:p>
      <w:pPr>
        <w:pStyle w:val="BodyText"/>
        <w:rPr>
          <w:b/>
        </w:rPr>
      </w:pPr>
      <w:r>
        <w:rPr>
          <w:b/>
        </w:rPr>
      </w:r>
    </w:p>
    <w:p>
      <w:pPr>
        <w:pStyle w:val="BodyText"/>
        <w:rPr/>
      </w:pPr>
      <w:r>
        <w:rPr/>
        <w:t xml:space="preserve">This is an intensive short course on the measurement, management, and market valuation of credit risk for financial institutions. The course is directed to risk managers, research staff, and traders with responsibility for credit risk or credit-related products, including bond and loan portfolios, OTC derivative portfolios, and credit derivatives. </w:t>
      </w:r>
    </w:p>
    <w:p>
      <w:pPr>
        <w:pStyle w:val="BodyText"/>
        <w:rPr/>
      </w:pPr>
      <w:r>
        <w:rPr/>
        <w:t>The course integrates alternative modeling approaches with the empirical properties of credit-related time series such as defaults, recoveries, transitions, and yield spreads.</w:t>
      </w:r>
    </w:p>
    <w:p>
      <w:pPr>
        <w:pStyle w:val="BodyText"/>
        <w:rPr/>
      </w:pPr>
      <w:r>
        <w:rPr/>
        <w:t>Significant focal points are alternative approaches to:</w:t>
      </w:r>
    </w:p>
    <w:p>
      <w:pPr>
        <w:pStyle w:val="List"/>
        <w:ind w:hanging="0" w:end="0"/>
        <w:rPr/>
      </w:pPr>
      <w:r>
        <w:rPr/>
        <w:t>estimating default  probabilities; estimating credit risk on portfolios (including the impact of correlation in default risk and the integration of credit risk into value-at-risk measures); defaultable term-structure modeling; and the market valuation of credit derivatives, including credit swaps, total-return swaps, spread and convertible products, credit-linked notes including collateralized loan obligations, and credit guarantees.  Data sources and computational methods are discussed.</w:t>
      </w:r>
    </w:p>
    <w:p>
      <w:pPr>
        <w:pStyle w:val="List"/>
        <w:ind w:hanging="0" w:end="0"/>
        <w:rPr/>
      </w:pPr>
      <w:r>
        <w:rPr/>
      </w:r>
    </w:p>
    <w:p>
      <w:pPr>
        <w:pStyle w:val="BodyText"/>
        <w:rPr/>
      </w:pPr>
      <w:r>
        <w:rPr/>
        <w:t>Optional break-out sessions designed to give hands-on experiences with pricing models and credit risk measurement will be offered.  There will also be an optional session on the “Econometrics of Credit Risk Analysis” offered during the week.</w:t>
      </w:r>
    </w:p>
    <w:p>
      <w:pPr>
        <w:pStyle w:val="BodyText"/>
        <w:rPr/>
      </w:pPr>
      <w:r>
        <w:rPr/>
        <w:t>Course participants are assumed to have had at least a basic work-related exposure to standard applied-probability concepts that are often used in industry financial models of credit or market risk, such as Markov chains, normally distributed returns, and Poisson arrivals.</w:t>
      </w:r>
    </w:p>
    <w:p>
      <w:pPr>
        <w:pStyle w:val="BodyText"/>
        <w:rPr/>
      </w:pPr>
      <w:r>
        <w:rPr/>
        <w:t>This course will be offered at the Stanford University Business School and the Schwab Residential Center on Stanford’s campus.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List"/>
        <w:ind w:hanging="0" w:start="0" w:end="0"/>
        <w:jc w:val="center"/>
        <w:rPr>
          <w:b/>
          <w:bCs/>
        </w:rPr>
      </w:pPr>
      <w:r>
        <w:rPr>
          <w:b/>
          <w:bCs/>
        </w:rPr>
      </w:r>
      <w:r>
        <mc:AlternateContent>
          <mc:Choice Requires="wps">
            <w:drawing>
              <wp:anchor behindDoc="0" distT="0" distB="0" distL="114300" distR="114300" simplePos="0" locked="0" layoutInCell="0" allowOverlap="1" relativeHeight="4">
                <wp:simplePos x="0" y="0"/>
                <wp:positionH relativeFrom="page">
                  <wp:posOffset>753745</wp:posOffset>
                </wp:positionH>
                <wp:positionV relativeFrom="paragraph">
                  <wp:posOffset>635</wp:posOffset>
                </wp:positionV>
                <wp:extent cx="6370320" cy="1567180"/>
                <wp:effectExtent l="0" t="0" r="0" b="0"/>
                <wp:wrapSquare wrapText="bothSides"/>
                <wp:docPr id="7" name="Frame3"/>
                <a:graphic xmlns:a="http://schemas.openxmlformats.org/drawingml/2006/main">
                  <a:graphicData uri="http://schemas.microsoft.com/office/word/2010/wordprocessingShape">
                    <wps:wsp>
                      <wps:cNvSpPr txBox="1"/>
                      <wps:spPr>
                        <a:xfrm>
                          <a:off x="0" y="0"/>
                          <a:ext cx="6370320" cy="1567180"/>
                        </a:xfrm>
                        <a:prstGeom prst="rect"/>
                        <a:solidFill>
                          <a:srgbClr val="FFFFFF">
                            <a:alpha val="0"/>
                          </a:srgbClr>
                        </a:solidFill>
                        <a:ln w="9525">
                          <a:solidFill>
                            <a:srgbClr val="000000"/>
                          </a:solidFill>
                        </a:ln>
                      </wps:spPr>
                      <wps:txbx>
                        <w:txbxContent>
                          <w:p>
                            <w:pPr>
                              <w:pStyle w:val="Normal"/>
                              <w:shd w:fill="FFFFFF" w:val="clear"/>
                              <w:jc w:val="center"/>
                              <w:rPr/>
                            </w:pPr>
                            <w:r>
                              <w:rPr>
                                <w:b/>
                              </w:rPr>
                              <w:drawing>
                                <wp:inline distT="0" distB="0" distL="0" distR="0">
                                  <wp:extent cx="571500" cy="571500"/>
                                  <wp:effectExtent l="0" t="0" r="0" b="0"/>
                                  <wp:docPr id="8"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rmSTN%20copy" descr="" title=""/>
                                          <pic:cNvPicPr>
                                            <a:picLocks noChangeAspect="1" noChangeArrowheads="1"/>
                                          </pic:cNvPicPr>
                                        </pic:nvPicPr>
                                        <pic:blipFill>
                                          <a:blip r:embed="rId8"/>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wps:txbx>
                      <wps:bodyPr anchor="t" lIns="88900" tIns="88900" rIns="88900" bIns="88900">
                        <a:noAutofit/>
                      </wps:bodyPr>
                    </wps:wsp>
                  </a:graphicData>
                </a:graphic>
              </wp:anchor>
            </w:drawing>
          </mc:Choice>
          <mc:Fallback>
            <w:pict>
              <v:rect fillcolor="#FFFFFF" strokecolor="#000000" strokeweight="0pt" style="position:absolute;rotation:-0;width:501.6pt;height:123.4pt;mso-wrap-distance-left:9pt;mso-wrap-distance-right:9pt;mso-wrap-distance-top:0pt;mso-wrap-distance-bottom:0pt;margin-top:0.05pt;mso-position-vertical-relative:text;margin-left:59.35pt;mso-position-horizontal-relative:page">
                <v:fill opacity="0f"/>
                <v:textbox inset="0.0972222222222222in,0.0972222222222222in,0.0972222222222222in,0.0972222222222222in">
                  <w:txbxContent>
                    <w:p>
                      <w:pPr>
                        <w:pStyle w:val="Normal"/>
                        <w:shd w:fill="FFFFFF" w:val="clear"/>
                        <w:jc w:val="center"/>
                        <w:rPr/>
                      </w:pPr>
                      <w:r>
                        <w:rPr>
                          <w:b/>
                        </w:rPr>
                        <w:drawing>
                          <wp:inline distT="0" distB="0" distL="0" distR="0">
                            <wp:extent cx="571500" cy="571500"/>
                            <wp:effectExtent l="0" t="0" r="0" b="0"/>
                            <wp:docPr id="9" name="GermSTN%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rmSTN%20copy" descr="" title=""/>
                                    <pic:cNvPicPr>
                                      <a:picLocks noChangeAspect="1" noChangeArrowheads="1"/>
                                    </pic:cNvPicPr>
                                  </pic:nvPicPr>
                                  <pic:blipFill>
                                    <a:blip r:embed="rId9"/>
                                    <a:srcRect l="-8" t="-8" r="-8" b="-8"/>
                                    <a:stretch>
                                      <a:fillRect/>
                                    </a:stretch>
                                  </pic:blipFill>
                                  <pic:spPr bwMode="auto">
                                    <a:xfrm>
                                      <a:off x="0" y="0"/>
                                      <a:ext cx="571500" cy="571500"/>
                                    </a:xfrm>
                                    <a:prstGeom prst="rect">
                                      <a:avLst/>
                                    </a:prstGeom>
                                    <a:noFill/>
                                  </pic:spPr>
                                </pic:pic>
                              </a:graphicData>
                            </a:graphic>
                          </wp:inline>
                        </w:drawing>
                        <w:t xml:space="preserve">              </w:t>
                      </w:r>
                      <w:r>
                        <w:rPr>
                          <w:b/>
                          <w:sz w:val="24"/>
                        </w:rPr>
                        <w:t>CREDIT RISK MODELING FOR FINANCIAL INSTITUTIONS</w:t>
                      </w:r>
                    </w:p>
                    <w:p>
                      <w:pPr>
                        <w:pStyle w:val="Caption"/>
                        <w:rPr/>
                      </w:pPr>
                      <w:r>
                        <w:rPr/>
                        <w:t xml:space="preserve">      </w:t>
                      </w:r>
                      <w:r>
                        <w:rPr/>
                        <w:t>March 4 – 9, 2001</w:t>
                      </w:r>
                    </w:p>
                    <w:p>
                      <w:pPr>
                        <w:pStyle w:val="Caption"/>
                        <w:rPr/>
                      </w:pPr>
                      <w:r>
                        <w:rPr/>
                        <w:t xml:space="preserve">        </w:t>
                      </w:r>
                      <w:r>
                        <w:rPr/>
                        <w:t>Stanford University</w:t>
                      </w:r>
                    </w:p>
                  </w:txbxContent>
                </v:textbox>
                <w10:wrap type="square"/>
              </v:rect>
            </w:pict>
          </mc:Fallback>
        </mc:AlternateContent>
      </w:r>
    </w:p>
    <w:p>
      <w:pPr>
        <w:pStyle w:val="List"/>
        <w:ind w:hanging="0" w:start="0" w:end="0"/>
        <w:jc w:val="center"/>
        <w:rPr>
          <w:b/>
          <w:bCs/>
        </w:rPr>
      </w:pPr>
      <w:r>
        <w:rPr>
          <w:rFonts w:eastAsia="Palatino;Book Antiqua"/>
          <w:b/>
          <w:bCs/>
        </w:rPr>
        <w:t xml:space="preserve">     </w:t>
      </w:r>
      <w:r>
        <w:rPr>
          <w:b/>
          <w:bCs/>
        </w:rPr>
        <w:t>COURSE OUTLINE</w:t>
      </w:r>
    </w:p>
    <w:p>
      <w:pPr>
        <w:pStyle w:val="List"/>
        <w:jc w:val="center"/>
        <w:rPr>
          <w:b/>
          <w:bCs/>
        </w:rPr>
      </w:pPr>
      <w:r>
        <w:rPr>
          <w:b/>
          <w:bCs/>
        </w:rPr>
      </w:r>
    </w:p>
    <w:p>
      <w:pPr>
        <w:pStyle w:val="List"/>
        <w:rPr>
          <w:rFonts w:ascii="Times New Roman" w:hAnsi="Times New Roman" w:cs="Times New Roman"/>
          <w:b/>
          <w:bCs/>
          <w:sz w:val="18"/>
        </w:rPr>
      </w:pPr>
      <w:r>
        <w:rPr>
          <w:rFonts w:cs="Times New Roman" w:ascii="Times New Roman" w:hAnsi="Times New Roman"/>
          <w:b/>
          <w:bCs/>
          <w:sz w:val="18"/>
        </w:rPr>
        <w:t>Module 1: Overview and Introduction</w:t>
      </w:r>
    </w:p>
    <w:p>
      <w:pPr>
        <w:pStyle w:val="ListBullet2"/>
        <w:ind w:hanging="0" w:start="0" w:end="0"/>
        <w:rPr>
          <w:sz w:val="18"/>
        </w:rPr>
      </w:pPr>
      <w:r>
        <w:rPr>
          <w:sz w:val="18"/>
        </w:rPr>
        <w:t>A.</w:t>
        <w:tab/>
        <w:t>Overview and Objectives of This Course</w:t>
      </w:r>
    </w:p>
    <w:p>
      <w:pPr>
        <w:pStyle w:val="ListBullet2"/>
        <w:ind w:hanging="0" w:start="0" w:end="0"/>
        <w:rPr>
          <w:sz w:val="18"/>
        </w:rPr>
      </w:pPr>
      <w:r>
        <w:rPr>
          <w:sz w:val="18"/>
        </w:rPr>
        <w:t>B.</w:t>
        <w:tab/>
        <w:t>Risk Economics for Financial Firms</w:t>
      </w:r>
    </w:p>
    <w:p>
      <w:pPr>
        <w:pStyle w:val="ListContinue2"/>
        <w:ind w:start="0" w:end="0"/>
        <w:rPr>
          <w:b/>
          <w:bCs/>
          <w:sz w:val="18"/>
        </w:rPr>
      </w:pPr>
      <w:r>
        <w:rPr>
          <w:b/>
          <w:bCs/>
          <w:sz w:val="18"/>
        </w:rPr>
      </w:r>
    </w:p>
    <w:p>
      <w:pPr>
        <w:pStyle w:val="ListContinue2"/>
        <w:ind w:start="0" w:end="0"/>
        <w:rPr>
          <w:b/>
          <w:bCs/>
          <w:sz w:val="18"/>
        </w:rPr>
      </w:pPr>
      <w:r>
        <w:rPr>
          <w:b/>
          <w:bCs/>
          <w:sz w:val="18"/>
        </w:rPr>
        <w:t>Module 2: Transitions and Default: Models and Evidence</w:t>
      </w:r>
    </w:p>
    <w:p>
      <w:pPr>
        <w:pStyle w:val="ListBullet3"/>
        <w:ind w:hanging="0" w:start="0" w:end="0"/>
        <w:rPr>
          <w:sz w:val="18"/>
        </w:rPr>
      </w:pPr>
      <w:r>
        <w:rPr>
          <w:sz w:val="18"/>
        </w:rPr>
        <w:t>A.</w:t>
        <w:tab/>
        <w:t>Historical Default Patterns</w:t>
      </w:r>
    </w:p>
    <w:p>
      <w:pPr>
        <w:pStyle w:val="ListBullet3"/>
        <w:ind w:hanging="0" w:start="0" w:end="0"/>
        <w:rPr>
          <w:sz w:val="18"/>
        </w:rPr>
      </w:pPr>
      <w:r>
        <w:rPr>
          <w:sz w:val="18"/>
        </w:rPr>
        <w:t>B.</w:t>
        <w:tab/>
        <w:t>Default Intensity</w:t>
      </w:r>
    </w:p>
    <w:p>
      <w:pPr>
        <w:pStyle w:val="ListBullet3"/>
        <w:ind w:hanging="0" w:start="0" w:end="0"/>
        <w:rPr>
          <w:sz w:val="18"/>
        </w:rPr>
      </w:pPr>
      <w:r>
        <w:rPr>
          <w:sz w:val="18"/>
        </w:rPr>
        <w:t>C.</w:t>
        <w:tab/>
        <w:t>Forward Default Probabilities</w:t>
      </w:r>
    </w:p>
    <w:p>
      <w:pPr>
        <w:pStyle w:val="ListBullet3"/>
        <w:ind w:hanging="0" w:start="0" w:end="0"/>
        <w:rPr>
          <w:sz w:val="18"/>
        </w:rPr>
      </w:pPr>
      <w:r>
        <w:rPr>
          <w:sz w:val="18"/>
        </w:rPr>
        <w:t>D.</w:t>
        <w:tab/>
        <w:t>First-Passage Models of Intensities</w:t>
      </w:r>
    </w:p>
    <w:p>
      <w:pPr>
        <w:pStyle w:val="ListBullet3"/>
        <w:ind w:hanging="0" w:start="0" w:end="0"/>
        <w:rPr>
          <w:sz w:val="18"/>
        </w:rPr>
      </w:pPr>
      <w:r>
        <w:rPr>
          <w:sz w:val="18"/>
        </w:rPr>
        <w:t>E.</w:t>
        <w:tab/>
        <w:t>Parameterizations of Intensity Models</w:t>
      </w:r>
    </w:p>
    <w:p>
      <w:pPr>
        <w:pStyle w:val="ListBullet3"/>
        <w:ind w:hanging="0" w:start="0" w:end="0"/>
        <w:rPr>
          <w:sz w:val="18"/>
        </w:rPr>
      </w:pPr>
      <w:r>
        <w:rPr>
          <w:sz w:val="18"/>
        </w:rPr>
        <w:t>F.</w:t>
        <w:tab/>
        <w:t>Toward Empirical Fitting of Intensity Models</w:t>
      </w:r>
    </w:p>
    <w:p>
      <w:pPr>
        <w:pStyle w:val="ListBullet3"/>
        <w:ind w:hanging="0" w:start="0" w:end="0"/>
        <w:rPr>
          <w:sz w:val="18"/>
        </w:rPr>
      </w:pPr>
      <w:r>
        <w:rPr>
          <w:sz w:val="18"/>
        </w:rPr>
        <w:t>G.</w:t>
        <w:tab/>
        <w:t>Ratings Transitions: Models and Evidence</w:t>
      </w:r>
    </w:p>
    <w:p>
      <w:pPr>
        <w:pStyle w:val="ListBullet3"/>
        <w:ind w:hanging="0" w:start="720" w:end="0"/>
        <w:rPr>
          <w:sz w:val="18"/>
        </w:rPr>
      </w:pPr>
      <w:r>
        <w:rPr>
          <w:sz w:val="18"/>
        </w:rPr>
      </w:r>
    </w:p>
    <w:p>
      <w:pPr>
        <w:pStyle w:val="List"/>
        <w:rPr>
          <w:rFonts w:ascii="Times New Roman" w:hAnsi="Times New Roman" w:cs="Times New Roman"/>
          <w:b/>
          <w:bCs/>
          <w:sz w:val="18"/>
        </w:rPr>
      </w:pPr>
      <w:r>
        <w:rPr>
          <w:rFonts w:cs="Times New Roman" w:ascii="Times New Roman" w:hAnsi="Times New Roman"/>
          <w:b/>
          <w:bCs/>
          <w:sz w:val="18"/>
        </w:rPr>
        <w:t xml:space="preserve">Module 3: Conceptual Approaches to Valuation </w:t>
      </w:r>
    </w:p>
    <w:p>
      <w:pPr>
        <w:pStyle w:val="List"/>
        <w:rPr>
          <w:rFonts w:ascii="Times New Roman" w:hAnsi="Times New Roman" w:cs="Times New Roman"/>
          <w:sz w:val="18"/>
        </w:rPr>
      </w:pPr>
      <w:r>
        <w:rPr>
          <w:rFonts w:cs="Times New Roman" w:ascii="Times New Roman" w:hAnsi="Times New Roman"/>
          <w:sz w:val="18"/>
        </w:rPr>
        <w:t xml:space="preserve">A. </w:t>
        <w:tab/>
        <w:tab/>
        <w:t>Introduction</w:t>
      </w:r>
    </w:p>
    <w:p>
      <w:pPr>
        <w:pStyle w:val="List"/>
        <w:rPr>
          <w:rFonts w:ascii="Times New Roman" w:hAnsi="Times New Roman" w:cs="Times New Roman"/>
          <w:sz w:val="18"/>
        </w:rPr>
      </w:pPr>
      <w:r>
        <w:rPr>
          <w:rFonts w:cs="Times New Roman" w:ascii="Times New Roman" w:hAnsi="Times New Roman"/>
          <w:sz w:val="18"/>
        </w:rPr>
        <w:t xml:space="preserve">B.  </w:t>
        <w:tab/>
        <w:tab/>
        <w:t>Risk-Neutral Versus Actual Default Probabilities</w:t>
      </w:r>
    </w:p>
    <w:p>
      <w:pPr>
        <w:pStyle w:val="List"/>
        <w:rPr>
          <w:rFonts w:ascii="Times New Roman" w:hAnsi="Times New Roman" w:cs="Times New Roman"/>
          <w:sz w:val="18"/>
        </w:rPr>
      </w:pPr>
      <w:r>
        <w:rPr>
          <w:rFonts w:cs="Times New Roman" w:ascii="Times New Roman" w:hAnsi="Times New Roman"/>
          <w:sz w:val="18"/>
        </w:rPr>
        <w:t xml:space="preserve">C.  </w:t>
        <w:tab/>
        <w:tab/>
        <w:t>Reduced-Form Pricing Models</w:t>
      </w:r>
    </w:p>
    <w:p>
      <w:pPr>
        <w:pStyle w:val="ListBullet3"/>
        <w:ind w:hanging="0" w:start="0" w:end="0"/>
        <w:rPr>
          <w:sz w:val="18"/>
        </w:rPr>
      </w:pPr>
      <w:r>
        <w:rPr>
          <w:sz w:val="18"/>
        </w:rPr>
        <w:t xml:space="preserve">D.  </w:t>
        <w:tab/>
        <w:t>Structural Pricing Models</w:t>
      </w:r>
    </w:p>
    <w:p>
      <w:pPr>
        <w:pStyle w:val="ListBullet3"/>
        <w:ind w:hanging="0" w:start="0" w:end="0"/>
        <w:rPr>
          <w:sz w:val="18"/>
        </w:rPr>
      </w:pPr>
      <w:r>
        <w:rPr>
          <w:sz w:val="18"/>
        </w:rPr>
        <w:t xml:space="preserve">E.  </w:t>
        <w:tab/>
        <w:t>Comparison of Model-Implied Spreads</w:t>
      </w:r>
    </w:p>
    <w:p>
      <w:pPr>
        <w:pStyle w:val="ListBullet3"/>
        <w:ind w:hanging="0" w:start="0" w:end="0"/>
        <w:rPr>
          <w:sz w:val="18"/>
        </w:rPr>
      </w:pPr>
      <w:r>
        <w:rPr>
          <w:sz w:val="18"/>
        </w:rPr>
        <w:t xml:space="preserve">F.  </w:t>
        <w:tab/>
        <w:t>From Actual to Risk-Neutral Probabilities</w:t>
      </w:r>
    </w:p>
    <w:p>
      <w:pPr>
        <w:pStyle w:val="ListContinue2"/>
        <w:ind w:start="0" w:end="0"/>
        <w:rPr>
          <w:sz w:val="18"/>
        </w:rPr>
      </w:pPr>
      <w:r>
        <w:rPr>
          <w:sz w:val="18"/>
        </w:rPr>
      </w:r>
    </w:p>
    <w:p>
      <w:pPr>
        <w:pStyle w:val="BodyText"/>
        <w:rPr>
          <w:rFonts w:ascii="Times New Roman" w:hAnsi="Times New Roman" w:cs="Times New Roman"/>
          <w:b/>
          <w:bCs/>
          <w:sz w:val="18"/>
        </w:rPr>
      </w:pPr>
      <w:r>
        <w:rPr>
          <w:rFonts w:cs="Times New Roman" w:ascii="Times New Roman" w:hAnsi="Times New Roman"/>
          <w:b/>
          <w:bCs/>
          <w:sz w:val="18"/>
        </w:rPr>
        <w:t>Module 4: Valuation of Corporate and Sovereign Debt</w:t>
      </w:r>
    </w:p>
    <w:p>
      <w:pPr>
        <w:pStyle w:val="List"/>
        <w:rPr>
          <w:rFonts w:ascii="Times New Roman" w:hAnsi="Times New Roman" w:cs="Times New Roman"/>
          <w:sz w:val="18"/>
        </w:rPr>
      </w:pPr>
      <w:r>
        <w:rPr>
          <w:rFonts w:cs="Times New Roman" w:ascii="Times New Roman" w:hAnsi="Times New Roman"/>
          <w:sz w:val="18"/>
        </w:rPr>
        <w:t>A.</w:t>
        <w:tab/>
        <w:tab/>
        <w:t>Recovery in the Event of Default</w:t>
      </w:r>
    </w:p>
    <w:p>
      <w:pPr>
        <w:pStyle w:val="List"/>
        <w:rPr>
          <w:rFonts w:ascii="Times New Roman" w:hAnsi="Times New Roman" w:cs="Times New Roman"/>
          <w:sz w:val="18"/>
        </w:rPr>
      </w:pPr>
      <w:r>
        <w:rPr>
          <w:rFonts w:cs="Times New Roman" w:ascii="Times New Roman" w:hAnsi="Times New Roman"/>
          <w:sz w:val="18"/>
        </w:rPr>
        <w:t>B.</w:t>
        <w:tab/>
        <w:tab/>
        <w:t>Two-sided Credit Risk:  Swaps and Forwards</w:t>
      </w:r>
    </w:p>
    <w:p>
      <w:pPr>
        <w:pStyle w:val="List"/>
        <w:rPr>
          <w:rFonts w:ascii="Times New Roman" w:hAnsi="Times New Roman" w:cs="Times New Roman"/>
          <w:sz w:val="18"/>
        </w:rPr>
      </w:pPr>
      <w:r>
        <w:rPr>
          <w:rFonts w:cs="Times New Roman" w:ascii="Times New Roman" w:hAnsi="Times New Roman"/>
          <w:sz w:val="18"/>
        </w:rPr>
        <w:t>C.</w:t>
        <w:tab/>
        <w:tab/>
        <w:t>Modeling the Reference Curve</w:t>
      </w:r>
    </w:p>
    <w:p>
      <w:pPr>
        <w:pStyle w:val="List"/>
        <w:rPr>
          <w:rFonts w:ascii="Times New Roman" w:hAnsi="Times New Roman" w:cs="Times New Roman"/>
          <w:sz w:val="18"/>
        </w:rPr>
      </w:pPr>
      <w:r>
        <w:rPr>
          <w:rFonts w:cs="Times New Roman" w:ascii="Times New Roman" w:hAnsi="Times New Roman"/>
          <w:sz w:val="18"/>
        </w:rPr>
        <w:t>D.</w:t>
        <w:tab/>
        <w:tab/>
        <w:t>Valuing Sovereign Bonds:  A Case Study of Russian Bonds</w:t>
      </w:r>
    </w:p>
    <w:p>
      <w:pPr>
        <w:pStyle w:val="List"/>
        <w:rPr>
          <w:rFonts w:ascii="Times New Roman" w:hAnsi="Times New Roman" w:cs="Times New Roman"/>
          <w:sz w:val="18"/>
        </w:rPr>
      </w:pPr>
      <w:r>
        <w:rPr>
          <w:rFonts w:cs="Times New Roman" w:ascii="Times New Roman" w:hAnsi="Times New Roman"/>
          <w:sz w:val="18"/>
        </w:rPr>
        <w:t>E.</w:t>
        <w:tab/>
        <w:tab/>
        <w:t>Ratings-Based Models of Spreads</w:t>
      </w:r>
    </w:p>
    <w:p>
      <w:pPr>
        <w:pStyle w:val="BodyText"/>
        <w:rPr>
          <w:rFonts w:ascii="Times New Roman" w:hAnsi="Times New Roman" w:cs="Times New Roman"/>
          <w:b/>
          <w:bCs/>
          <w:sz w:val="18"/>
        </w:rPr>
      </w:pPr>
      <w:r>
        <w:rPr>
          <w:rFonts w:cs="Times New Roman" w:ascii="Times New Roman" w:hAnsi="Times New Roman"/>
          <w:b/>
          <w:bCs/>
          <w:sz w:val="18"/>
        </w:rPr>
      </w:r>
    </w:p>
    <w:p>
      <w:pPr>
        <w:pStyle w:val="BodyText"/>
        <w:rPr>
          <w:rFonts w:ascii="Times New Roman" w:hAnsi="Times New Roman" w:cs="Times New Roman"/>
          <w:sz w:val="18"/>
        </w:rPr>
      </w:pPr>
      <w:r>
        <w:rPr>
          <w:rFonts w:cs="Times New Roman" w:ascii="Times New Roman" w:hAnsi="Times New Roman"/>
          <w:b/>
          <w:bCs/>
          <w:sz w:val="18"/>
        </w:rPr>
        <w:t>Module 5: Credit Swaps</w:t>
      </w:r>
    </w:p>
    <w:p>
      <w:pPr>
        <w:pStyle w:val="List"/>
        <w:rPr>
          <w:rFonts w:ascii="Times New Roman" w:hAnsi="Times New Roman" w:cs="Times New Roman"/>
          <w:sz w:val="18"/>
        </w:rPr>
      </w:pPr>
      <w:r>
        <w:rPr>
          <w:rFonts w:cs="Times New Roman" w:ascii="Times New Roman" w:hAnsi="Times New Roman"/>
          <w:sz w:val="18"/>
        </w:rPr>
        <w:t>A.</w:t>
        <w:tab/>
        <w:tab/>
        <w:t xml:space="preserve">Introduction to Credit Derivatives      </w:t>
      </w:r>
    </w:p>
    <w:p>
      <w:pPr>
        <w:pStyle w:val="List"/>
        <w:ind w:hanging="0" w:start="0" w:end="0"/>
        <w:rPr>
          <w:rFonts w:ascii="Times New Roman" w:hAnsi="Times New Roman" w:cs="Times New Roman"/>
          <w:sz w:val="18"/>
        </w:rPr>
      </w:pPr>
      <w:r>
        <w:rPr>
          <w:rFonts w:cs="Times New Roman" w:ascii="Times New Roman" w:hAnsi="Times New Roman"/>
          <w:sz w:val="18"/>
        </w:rPr>
        <w:t>B.</w:t>
        <w:tab/>
        <w:t>Basics of default swaps</w:t>
      </w:r>
    </w:p>
    <w:p>
      <w:pPr>
        <w:pStyle w:val="List"/>
        <w:ind w:hanging="0" w:start="0" w:end="0"/>
        <w:rPr>
          <w:rFonts w:ascii="Times New Roman" w:hAnsi="Times New Roman" w:cs="Times New Roman"/>
          <w:sz w:val="18"/>
        </w:rPr>
      </w:pPr>
      <w:r>
        <w:rPr>
          <w:rFonts w:cs="Times New Roman" w:ascii="Times New Roman" w:hAnsi="Times New Roman"/>
          <w:sz w:val="18"/>
        </w:rPr>
        <w:t>C.</w:t>
        <w:tab/>
        <w:t>Synthetic credit swaps on par floaters</w:t>
      </w:r>
    </w:p>
    <w:p>
      <w:pPr>
        <w:pStyle w:val="List"/>
        <w:ind w:hanging="0" w:start="0" w:end="0"/>
        <w:rPr>
          <w:rFonts w:ascii="Times New Roman" w:hAnsi="Times New Roman" w:cs="Times New Roman"/>
          <w:sz w:val="18"/>
        </w:rPr>
      </w:pPr>
      <w:r>
        <w:rPr>
          <w:rFonts w:cs="Times New Roman" w:ascii="Times New Roman" w:hAnsi="Times New Roman"/>
          <w:sz w:val="18"/>
        </w:rPr>
        <w:t>D.</w:t>
        <w:tab/>
        <w:t>Repo specials</w:t>
      </w:r>
    </w:p>
    <w:p>
      <w:pPr>
        <w:pStyle w:val="List"/>
        <w:numPr>
          <w:ilvl w:val="0"/>
          <w:numId w:val="4"/>
        </w:numPr>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ab/>
        <w:t>Accrued swap premium and interest</w:t>
        <w:tab/>
      </w:r>
    </w:p>
    <w:p>
      <w:pPr>
        <w:pStyle w:val="List"/>
        <w:rPr>
          <w:rFonts w:ascii="Times New Roman" w:hAnsi="Times New Roman" w:cs="Times New Roman"/>
        </w:rPr>
      </w:pPr>
      <w:r>
        <w:rPr>
          <w:rFonts w:cs="Times New Roman" w:ascii="Times New Roman" w:hAnsi="Times New Roman"/>
          <w:sz w:val="18"/>
        </w:rPr>
        <w:t>F.</w:t>
        <w:tab/>
        <w:tab/>
        <w:t>The role of asset swaps</w:t>
      </w:r>
    </w:p>
    <w:p>
      <w:pPr>
        <w:pStyle w:val="BodyText"/>
        <w:rPr>
          <w:rFonts w:ascii="Times New Roman" w:hAnsi="Times New Roman" w:cs="Times New Roman"/>
          <w:b/>
          <w:bCs/>
          <w:sz w:val="18"/>
        </w:rPr>
      </w:pPr>
      <w:r>
        <w:rPr>
          <w:rFonts w:cs="Times New Roman" w:ascii="Times New Roman" w:hAnsi="Times New Roman"/>
          <w:b/>
          <w:bCs/>
          <w:sz w:val="18"/>
        </w:rPr>
      </w:r>
    </w:p>
    <w:p>
      <w:pPr>
        <w:pStyle w:val="BodyText"/>
        <w:rPr>
          <w:rFonts w:ascii="Times New Roman" w:hAnsi="Times New Roman" w:cs="Times New Roman"/>
          <w:b/>
          <w:bCs/>
          <w:sz w:val="18"/>
        </w:rPr>
      </w:pPr>
      <w:r>
        <w:rPr>
          <w:rFonts w:cs="Times New Roman" w:ascii="Times New Roman" w:hAnsi="Times New Roman"/>
          <w:b/>
          <w:bCs/>
          <w:sz w:val="18"/>
        </w:rPr>
        <w:t>Module 6: Optional Credit Products</w:t>
      </w:r>
    </w:p>
    <w:p>
      <w:pPr>
        <w:pStyle w:val="List"/>
        <w:rPr>
          <w:rFonts w:ascii="Times New Roman" w:hAnsi="Times New Roman" w:cs="Times New Roman"/>
          <w:sz w:val="18"/>
        </w:rPr>
      </w:pPr>
      <w:r>
        <w:rPr>
          <w:rFonts w:cs="Times New Roman" w:ascii="Times New Roman" w:hAnsi="Times New Roman"/>
          <w:sz w:val="18"/>
        </w:rPr>
        <w:t>A.</w:t>
        <w:tab/>
        <w:tab/>
        <w:t>Spread Options</w:t>
      </w:r>
    </w:p>
    <w:p>
      <w:pPr>
        <w:pStyle w:val="List"/>
        <w:rPr>
          <w:rFonts w:ascii="Times New Roman" w:hAnsi="Times New Roman" w:cs="Times New Roman"/>
          <w:sz w:val="18"/>
        </w:rPr>
      </w:pPr>
      <w:r>
        <w:rPr>
          <w:rFonts w:cs="Times New Roman" w:ascii="Times New Roman" w:hAnsi="Times New Roman"/>
          <w:sz w:val="18"/>
        </w:rPr>
        <w:t>B.</w:t>
        <w:tab/>
        <w:tab/>
        <w:t>Callable and Convertible Corporate Debt</w:t>
      </w:r>
    </w:p>
    <w:p>
      <w:pPr>
        <w:pStyle w:val="List"/>
        <w:ind w:hanging="0" w:end="0"/>
        <w:rPr>
          <w:rFonts w:ascii="Times New Roman" w:hAnsi="Times New Roman" w:cs="Times New Roman"/>
          <w:sz w:val="18"/>
        </w:rPr>
      </w:pPr>
      <w:r>
        <w:rPr>
          <w:rFonts w:cs="Times New Roman" w:ascii="Times New Roman" w:hAnsi="Times New Roman"/>
          <w:sz w:val="18"/>
        </w:rPr>
      </w:r>
    </w:p>
    <w:p>
      <w:pPr>
        <w:pStyle w:val="BodyText"/>
        <w:rPr>
          <w:rFonts w:ascii="Times New Roman" w:hAnsi="Times New Roman" w:cs="Times New Roman"/>
          <w:b/>
          <w:bCs/>
          <w:sz w:val="18"/>
        </w:rPr>
      </w:pPr>
      <w:r>
        <w:rPr>
          <w:rFonts w:cs="Times New Roman" w:ascii="Times New Roman" w:hAnsi="Times New Roman"/>
          <w:b/>
          <w:bCs/>
          <w:sz w:val="18"/>
        </w:rPr>
        <w:t>Module 7: Correlated Default Risk</w:t>
      </w:r>
    </w:p>
    <w:p>
      <w:pPr>
        <w:pStyle w:val="List"/>
        <w:rPr>
          <w:rFonts w:ascii="Times New Roman" w:hAnsi="Times New Roman" w:cs="Times New Roman"/>
          <w:sz w:val="18"/>
        </w:rPr>
      </w:pPr>
      <w:r>
        <w:rPr>
          <w:rFonts w:cs="Times New Roman" w:ascii="Times New Roman" w:hAnsi="Times New Roman"/>
          <w:sz w:val="18"/>
        </w:rPr>
        <w:t>A.</w:t>
        <w:tab/>
        <w:tab/>
        <w:t>Applications and Alternatives</w:t>
      </w:r>
    </w:p>
    <w:p>
      <w:pPr>
        <w:pStyle w:val="List"/>
        <w:rPr>
          <w:rFonts w:ascii="Times New Roman" w:hAnsi="Times New Roman" w:cs="Times New Roman"/>
          <w:sz w:val="18"/>
        </w:rPr>
      </w:pPr>
      <w:r>
        <w:rPr>
          <w:rFonts w:cs="Times New Roman" w:ascii="Times New Roman" w:hAnsi="Times New Roman"/>
          <w:sz w:val="18"/>
        </w:rPr>
        <w:t>B.</w:t>
        <w:tab/>
        <w:tab/>
        <w:t>Simulating Correlated Default Times</w:t>
      </w:r>
    </w:p>
    <w:p>
      <w:pPr>
        <w:pStyle w:val="List"/>
        <w:numPr>
          <w:ilvl w:val="0"/>
          <w:numId w:val="2"/>
        </w:numPr>
        <w:rPr>
          <w:rFonts w:ascii="Times New Roman" w:hAnsi="Times New Roman" w:cs="Times New Roman"/>
          <w:sz w:val="18"/>
        </w:rPr>
      </w:pPr>
      <w:r>
        <w:rPr>
          <w:rFonts w:cs="Times New Roman" w:ascii="Times New Roman" w:hAnsi="Times New Roman"/>
          <w:sz w:val="18"/>
        </w:rPr>
        <w:t>Collateralized Debt Obligations</w:t>
      </w:r>
    </w:p>
    <w:p>
      <w:pPr>
        <w:pStyle w:val="List"/>
        <w:numPr>
          <w:ilvl w:val="0"/>
          <w:numId w:val="2"/>
        </w:numPr>
        <w:rPr>
          <w:rFonts w:ascii="Times New Roman" w:hAnsi="Times New Roman" w:cs="Times New Roman"/>
          <w:sz w:val="18"/>
        </w:rPr>
      </w:pPr>
      <w:r>
        <w:rPr>
          <w:rFonts w:cs="Times New Roman" w:ascii="Times New Roman" w:hAnsi="Times New Roman"/>
          <w:sz w:val="18"/>
        </w:rPr>
        <w:t>Credit Guarantees</w:t>
      </w:r>
    </w:p>
    <w:p>
      <w:pPr>
        <w:pStyle w:val="List"/>
        <w:rPr>
          <w:rFonts w:ascii="Times New Roman" w:hAnsi="Times New Roman" w:cs="Times New Roman"/>
          <w:sz w:val="18"/>
        </w:rPr>
      </w:pPr>
      <w:r>
        <w:rPr>
          <w:rFonts w:cs="Times New Roman" w:ascii="Times New Roman" w:hAnsi="Times New Roman"/>
          <w:sz w:val="18"/>
        </w:rPr>
        <w:t>D.</w:t>
        <w:tab/>
        <w:tab/>
        <w:t>First-to-default Swaps</w:t>
      </w:r>
    </w:p>
    <w:p>
      <w:pPr>
        <w:pStyle w:val="List"/>
        <w:ind w:hanging="0" w:end="0"/>
        <w:rPr>
          <w:rFonts w:ascii="Times New Roman" w:hAnsi="Times New Roman" w:cs="Times New Roman"/>
          <w:b/>
          <w:bCs/>
          <w:sz w:val="18"/>
        </w:rPr>
      </w:pPr>
      <w:r>
        <w:rPr>
          <w:rFonts w:cs="Times New Roman" w:ascii="Times New Roman" w:hAnsi="Times New Roman"/>
          <w:b/>
          <w:bCs/>
          <w:sz w:val="18"/>
        </w:rPr>
      </w:r>
    </w:p>
    <w:p>
      <w:pPr>
        <w:pStyle w:val="BodyText"/>
        <w:rPr>
          <w:rFonts w:ascii="Times New Roman" w:hAnsi="Times New Roman" w:cs="Times New Roman"/>
          <w:sz w:val="18"/>
        </w:rPr>
      </w:pPr>
      <w:r>
        <w:rPr>
          <w:rFonts w:cs="Times New Roman" w:ascii="Times New Roman" w:hAnsi="Times New Roman"/>
          <w:b/>
          <w:bCs/>
          <w:sz w:val="18"/>
        </w:rPr>
        <w:t>Module 8: Model-Based Credit Risk Measurement</w:t>
      </w:r>
    </w:p>
    <w:p>
      <w:pPr>
        <w:pStyle w:val="List"/>
        <w:rPr>
          <w:rFonts w:ascii="Times New Roman" w:hAnsi="Times New Roman" w:cs="Times New Roman"/>
          <w:sz w:val="18"/>
        </w:rPr>
      </w:pPr>
      <w:r>
        <w:rPr>
          <w:rFonts w:cs="Times New Roman" w:ascii="Times New Roman" w:hAnsi="Times New Roman"/>
          <w:sz w:val="18"/>
        </w:rPr>
        <w:t>A.</w:t>
        <w:tab/>
        <w:tab/>
        <w:t>Introduction to Credit Risk Measurement</w:t>
      </w:r>
    </w:p>
    <w:p>
      <w:pPr>
        <w:pStyle w:val="List"/>
        <w:rPr>
          <w:rFonts w:ascii="Times New Roman" w:hAnsi="Times New Roman" w:cs="Times New Roman"/>
          <w:sz w:val="18"/>
        </w:rPr>
      </w:pPr>
      <w:r>
        <w:rPr>
          <w:rFonts w:cs="Times New Roman" w:ascii="Times New Roman" w:hAnsi="Times New Roman"/>
          <w:sz w:val="18"/>
        </w:rPr>
        <w:t>B.</w:t>
        <w:tab/>
        <w:tab/>
        <w:t>Expected Exposure in Practice</w:t>
      </w:r>
    </w:p>
    <w:p>
      <w:pPr>
        <w:pStyle w:val="List"/>
        <w:rPr>
          <w:rFonts w:ascii="Times New Roman" w:hAnsi="Times New Roman" w:cs="Times New Roman"/>
          <w:sz w:val="18"/>
        </w:rPr>
      </w:pPr>
      <w:r>
        <w:rPr>
          <w:rFonts w:cs="Times New Roman" w:ascii="Times New Roman" w:hAnsi="Times New Roman"/>
          <w:sz w:val="18"/>
        </w:rPr>
        <w:t>C.</w:t>
        <w:tab/>
        <w:tab/>
        <w:t>Credit-Sensitive Portfolio-Value Distributions</w:t>
      </w:r>
    </w:p>
    <w:p>
      <w:pPr>
        <w:pStyle w:val="List"/>
        <w:rPr>
          <w:rFonts w:ascii="Times New Roman" w:hAnsi="Times New Roman" w:cs="Times New Roman"/>
          <w:sz w:val="18"/>
        </w:rPr>
      </w:pPr>
      <w:r>
        <w:rPr>
          <w:rFonts w:cs="Times New Roman" w:ascii="Times New Roman" w:hAnsi="Times New Roman"/>
          <w:sz w:val="18"/>
        </w:rPr>
        <w:t>D.</w:t>
        <w:tab/>
        <w:tab/>
        <w:t>Revaluation with Credit Risk</w:t>
      </w:r>
    </w:p>
    <w:p>
      <w:pPr>
        <w:pStyle w:val="List"/>
        <w:rPr>
          <w:rFonts w:ascii="Times New Roman" w:hAnsi="Times New Roman" w:cs="Times New Roman"/>
          <w:sz w:val="18"/>
        </w:rPr>
      </w:pPr>
      <w:r>
        <w:rPr>
          <w:rFonts w:cs="Times New Roman" w:ascii="Times New Roman" w:hAnsi="Times New Roman"/>
          <w:sz w:val="18"/>
        </w:rPr>
        <w:tab/>
        <w:tab/>
        <w:t>D (i)</w:t>
        <w:tab/>
        <w:t>One-sided instruments (loans, bonds).</w:t>
      </w:r>
    </w:p>
    <w:p>
      <w:pPr>
        <w:pStyle w:val="List"/>
        <w:rPr>
          <w:rFonts w:ascii="Times New Roman" w:hAnsi="Times New Roman" w:cs="Times New Roman"/>
          <w:sz w:val="18"/>
        </w:rPr>
      </w:pPr>
      <w:r>
        <w:rPr>
          <w:rFonts w:cs="Times New Roman" w:ascii="Times New Roman" w:hAnsi="Times New Roman"/>
          <w:sz w:val="18"/>
        </w:rPr>
        <w:tab/>
        <w:tab/>
        <w:t>D (ii)</w:t>
        <w:tab/>
        <w:t>Two-sided instruments (forwards, swaps).</w:t>
      </w:r>
    </w:p>
    <w:p>
      <w:pPr>
        <w:pStyle w:val="Normal"/>
        <w:rPr>
          <w:sz w:val="18"/>
        </w:rPr>
      </w:pPr>
      <w:r>
        <w:rPr>
          <w:sz w:val="18"/>
        </w:rPr>
        <w:t>E.</w:t>
        <w:tab/>
        <w:t>Putting It All Together</w:t>
      </w:r>
    </w:p>
    <w:sectPr>
      <w:type w:val="nextPage"/>
      <w:pgSz w:w="12240" w:h="15840"/>
      <w:pgMar w:left="1440" w:right="1440" w:gutter="0" w:header="0" w:top="63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5"/>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4" w:space="1" w:color="000000" w:shadow="1"/>
        <w:left w:val="single" w:sz="4" w:space="4" w:color="000000" w:shadow="1"/>
        <w:bottom w:val="single" w:sz="4" w:space="1" w:color="000000" w:shadow="1"/>
        <w:right w:val="single" w:sz="4" w:space="4" w:color="000000" w:shadow="1"/>
      </w:pBdr>
      <w:shd w:fill="F2F2F2" w:val="clea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pBdr>
        <w:top w:val="single" w:sz="4" w:space="1" w:color="000000" w:shadow="1"/>
        <w:left w:val="single" w:sz="4" w:space="4" w:color="000000" w:shadow="1"/>
        <w:bottom w:val="single" w:sz="4" w:space="1" w:color="000000" w:shadow="1"/>
        <w:right w:val="single" w:sz="4" w:space="4" w:color="000000" w:shadow="1"/>
      </w:pBdr>
      <w:shd w:fill="F2F2F2" w:val="clea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Arial" w:hAnsi="Arial" w:cs="Arial"/>
      <w:b/>
      <w:bCs/>
      <w:sz w:val="24"/>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Palatino;Book Antiqua" w:hAnsi="Palatino;Book Antiqua" w:cs="Palatino;Book Antiqua"/>
      <w:sz w:val="24"/>
    </w:rPr>
  </w:style>
  <w:style w:type="paragraph" w:styleId="List">
    <w:name w:val="List"/>
    <w:basedOn w:val="Normal"/>
    <w:pPr>
      <w:ind w:hanging="360" w:start="360" w:end="0"/>
    </w:pPr>
    <w:rPr>
      <w:rFonts w:ascii="Palatino;Book Antiqua" w:hAnsi="Palatino;Book Antiqua" w:cs="Palatino;Book Antiqua"/>
      <w:sz w:val="24"/>
    </w:rPr>
  </w:style>
  <w:style w:type="paragraph" w:styleId="Caption">
    <w:name w:val="caption"/>
    <w:basedOn w:val="Normal"/>
    <w:next w:val="Normal"/>
    <w:qFormat/>
    <w:pPr>
      <w:pBdr>
        <w:top w:val="single" w:sz="6" w:space="7" w:color="000000"/>
        <w:left w:val="single" w:sz="6" w:space="7" w:color="000000"/>
        <w:bottom w:val="single" w:sz="6" w:space="7" w:color="000000"/>
        <w:right w:val="single" w:sz="6" w:space="7" w:color="000000"/>
      </w:pBdr>
      <w:shd w:fill="FFFFFF" w:val="clear"/>
      <w:jc w:val="center"/>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color w:val="000000"/>
      <w:sz w:val="24"/>
      <w:szCs w:val="24"/>
    </w:rPr>
  </w:style>
  <w:style w:type="paragraph" w:styleId="ListBullet2">
    <w:name w:val="List Bullet 2"/>
    <w:basedOn w:val="Normal"/>
    <w:pPr>
      <w:ind w:hanging="360" w:start="720" w:end="0"/>
    </w:pPr>
    <w:rPr/>
  </w:style>
  <w:style w:type="paragraph" w:styleId="BodyTextIndent">
    <w:name w:val="Body Text Indent"/>
    <w:basedOn w:val="Normal"/>
    <w:pPr>
      <w:spacing w:before="0" w:after="120"/>
      <w:ind w:hanging="0" w:start="36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www.gsb.stanford.edu/exed/crm" TargetMode="External"/><Relationship Id="rId5" Type="http://schemas.openxmlformats.org/officeDocument/2006/relationships/hyperlink" Target="http://www.gsb.stanford.edu/exed"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2000-11-28T23:40:00Z</dcterms:created>
  <dc:creator>asisero</dc:creator>
  <dc:description/>
  <dc:language>en-CA</dc:language>
  <cp:lastModifiedBy>skashi</cp:lastModifiedBy>
  <cp:lastPrinted>2000-11-28T17:09:00Z</cp:lastPrinted>
  <dcterms:modified xsi:type="dcterms:W3CDTF">2000-11-28T23:40:00Z</dcterms:modified>
  <cp:revision>2</cp:revision>
  <dc:subject/>
  <dc:title>STANFORD UNIVERSITY</dc:title>
</cp:coreProperties>
</file>