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CRESCENDO ENERGY, L.L.C.</w:t>
      </w:r>
    </w:p>
    <w:p>
      <w:pPr>
        <w:pStyle w:val="Heading2"/>
        <w:ind w:hanging="0" w:start="0"/>
        <w:rPr/>
      </w:pPr>
      <w:r>
        <w:rPr/>
        <w:t>Gathering, Processing, and Transportation Agreement Analysis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Goals:</w:t>
      </w:r>
      <w:r>
        <w:rPr/>
        <w:t xml:space="preserve">  Establish one of the following:</w:t>
      </w:r>
    </w:p>
    <w:p>
      <w:pPr>
        <w:pStyle w:val="BodyTextIndent"/>
        <w:rPr/>
      </w:pPr>
      <w:r>
        <w:rPr/>
        <w:t>1.  Wildhorse will perform its obligations under the Agreement and both parties reach agreement as to what those obligations are.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Wildhorse has breached or intends to breach the Agreement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Wildhorse declares unprofitability</w:t>
      </w:r>
    </w:p>
    <w:p>
      <w:pPr>
        <w:pStyle w:val="Normal"/>
        <w:jc w:val="both"/>
        <w:rPr/>
      </w:pPr>
      <w:r>
        <w:rPr/>
      </w:r>
    </w:p>
    <w:p>
      <w:pPr>
        <w:pStyle w:val="Heading1"/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1028700</wp:posOffset>
                </wp:positionH>
                <wp:positionV relativeFrom="paragraph">
                  <wp:posOffset>190500</wp:posOffset>
                </wp:positionV>
                <wp:extent cx="0" cy="457200"/>
                <wp:effectExtent l="38100" t="0" r="3810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15pt" to="81pt,5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4229100</wp:posOffset>
                </wp:positionH>
                <wp:positionV relativeFrom="paragraph">
                  <wp:posOffset>190500</wp:posOffset>
                </wp:positionV>
                <wp:extent cx="0" cy="457200"/>
                <wp:effectExtent l="38100" t="0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15pt" to="333pt,5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Entrada Production</w:t>
        <w:tab/>
        <w:tab/>
        <w:tab/>
        <w:tab/>
        <w:t>Dakota Production</w:t>
      </w:r>
    </w:p>
    <w:p>
      <w:pPr>
        <w:pStyle w:val="Normal"/>
        <w:ind w:start="720" w:end="0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/>
      </w:pPr>
      <w:r>
        <w:rPr/>
        <w:t>Gave notice of future plant installation</w:t>
        <w:tab/>
        <w:tab/>
        <w:t xml:space="preserve">Establish (i) Wildhorse’s </w:t>
      </w:r>
    </w:p>
    <w:p>
      <w:pPr>
        <w:pStyle w:val="Normal"/>
        <w:ind w:firstLine="720" w:end="0"/>
        <w:jc w:val="both"/>
        <w:rPr/>
      </w:pPr>
      <w:r>
        <w:rPr/>
        <w:t>Requested acknowledgment of Unprofitability</w:t>
      </w:r>
      <w:r>
        <w:rPr>
          <w:rStyle w:val="FootnoteCharacters"/>
          <w:rStyle w:val="FootnoteReference"/>
        </w:rPr>
        <w:footnoteReference w:id="2"/>
      </w:r>
      <w:r>
        <w:rPr/>
        <w:tab/>
        <w:t>obligation to process, (ii)</w:t>
      </w:r>
    </w:p>
    <w:p>
      <w:pPr>
        <w:pStyle w:val="Normal"/>
        <w:ind w:firstLine="720" w:start="2880" w:end="0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1028700</wp:posOffset>
                </wp:positionH>
                <wp:positionV relativeFrom="paragraph">
                  <wp:posOffset>53340</wp:posOffset>
                </wp:positionV>
                <wp:extent cx="0" cy="571500"/>
                <wp:effectExtent l="38100" t="0" r="3810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4.2pt" to="81pt,49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  <w:tab/>
        <w:t>that Wildhorse has no right to</w:t>
      </w:r>
    </w:p>
    <w:p>
      <w:pPr>
        <w:pStyle w:val="Normal"/>
        <w:ind w:start="720" w:end="0"/>
        <w:jc w:val="both"/>
        <w:rPr/>
      </w:pPr>
      <w:r>
        <w:rPr/>
        <w:tab/>
        <w:tab/>
        <w:tab/>
        <w:tab/>
        <w:tab/>
        <w:tab/>
        <w:tab/>
        <w:t>curtail Crescendo for third</w:t>
      </w:r>
    </w:p>
    <w:p>
      <w:pPr>
        <w:pStyle w:val="Normal"/>
        <w:ind w:start="720" w:end="0"/>
        <w:jc w:val="both"/>
        <w:rPr/>
      </w:pPr>
      <w:r>
        <w:rPr/>
        <w:tab/>
        <w:tab/>
        <w:tab/>
        <w:tab/>
        <w:tab/>
        <w:tab/>
        <w:tab/>
        <w:t>party gas, and (iii)Wildhorse</w:t>
      </w:r>
    </w:p>
    <w:p>
      <w:pPr>
        <w:pStyle w:val="Normal"/>
        <w:ind w:firstLine="720" w:start="5040" w:end="0"/>
        <w:jc w:val="both"/>
        <w:rPr/>
      </w:pPr>
      <w:r>
        <w:rPr/>
        <w:t>must deliver to NWP.</w:t>
      </w:r>
      <w:r>
        <w:rPr>
          <w:rStyle w:val="FootnoteCharacters"/>
          <w:rStyle w:val="FootnoteReference"/>
        </w:rPr>
        <w:footnoteReference w:id="3"/>
      </w:r>
    </w:p>
    <w:p>
      <w:pPr>
        <w:pStyle w:val="Normal"/>
        <w:ind w:start="720" w:end="0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0" cy="457200"/>
                <wp:effectExtent l="38100" t="0" r="3810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7.8pt" to="342pt,43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Wildhorse refuted Unprofitability</w:t>
        <w:tab/>
        <w:tab/>
        <w:tab/>
      </w:r>
    </w:p>
    <w:p>
      <w:pPr>
        <w:pStyle w:val="Normal"/>
        <w:ind w:start="720" w:end="0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228600" cy="571500"/>
                <wp:effectExtent l="7620" t="1905" r="444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pt,12pt" to="80.95pt,56.9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457200" cy="571500"/>
                <wp:effectExtent l="3810" t="3175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12pt" to="179.95pt,56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Claims gas quality for inability to take gas</w:t>
      </w:r>
      <w:r>
        <w:rPr>
          <w:rStyle w:val="FootnoteCharacters"/>
          <w:rStyle w:val="FootnoteReference"/>
        </w:rPr>
        <w:footnoteReference w:id="4"/>
      </w:r>
      <w:r>
        <w:rPr/>
        <w:tab/>
        <w:tab/>
        <w:tab/>
        <w:tab/>
        <w:tab/>
      </w:r>
    </w:p>
    <w:p>
      <w:pPr>
        <w:pStyle w:val="Normal"/>
        <w:ind w:start="720" w:end="0"/>
        <w:jc w:val="both"/>
        <w:rPr/>
      </w:pPr>
      <w:r>
        <w:rPr/>
        <w:tab/>
        <w:tab/>
        <w:tab/>
        <w:tab/>
        <w:tab/>
        <w:tab/>
        <w:tab/>
      </w:r>
    </w:p>
    <w:p>
      <w:pPr>
        <w:pStyle w:val="Normal"/>
        <w:ind w:firstLine="720" w:start="5040" w:end="0"/>
        <w:jc w:val="both"/>
        <w:rPr/>
      </w:pPr>
      <w:r>
        <w:rPr/>
        <w:t>Possible response from</w:t>
      </w:r>
    </w:p>
    <w:p>
      <w:pPr>
        <w:pStyle w:val="Normal"/>
        <w:ind w:start="720" w:end="0"/>
        <w:jc w:val="both"/>
        <w:rPr/>
      </w:pPr>
      <w:r>
        <w:rPr/>
        <w:tab/>
        <w:tab/>
        <w:tab/>
        <w:tab/>
        <w:tab/>
        <w:tab/>
        <w:tab/>
        <w:t xml:space="preserve">Wildhorse: No obligation to </w:t>
      </w:r>
    </w:p>
    <w:p>
      <w:pPr>
        <w:pStyle w:val="Normal"/>
        <w:ind w:start="720" w:end="0"/>
        <w:jc w:val="both"/>
        <w:rPr/>
      </w:pPr>
      <w:r>
        <w:rPr>
          <w:u w:val="single"/>
        </w:rPr>
        <w:t>Install Plant at SA</w:t>
      </w:r>
      <w:r>
        <w:rPr/>
        <w:tab/>
      </w:r>
      <w:r>
        <w:rPr>
          <w:u w:val="single"/>
        </w:rPr>
        <w:t>Install Plant at BW</w:t>
      </w:r>
      <w:r>
        <w:rPr/>
        <w:tab/>
        <w:tab/>
        <w:t>process</w:t>
      </w:r>
    </w:p>
    <w:p>
      <w:pPr>
        <w:pStyle w:val="Normal"/>
        <w:ind w:start="720" w:end="0"/>
        <w:jc w:val="both"/>
        <w:rPr>
          <w:i/>
          <w:i/>
          <w:iCs/>
        </w:rPr>
      </w:pPr>
      <w:r>
        <w:rPr>
          <w:i/>
          <w:iCs/>
        </w:rPr>
        <w:t>Location Issues:</w:t>
        <w:tab/>
        <w:t>Location Issues:</w:t>
      </w:r>
    </w:p>
    <w:p>
      <w:pPr>
        <w:pStyle w:val="Normal"/>
        <w:ind w:start="720" w:end="0"/>
        <w:jc w:val="both"/>
        <w:rPr/>
      </w:pPr>
      <w:r>
        <w:rPr/>
        <w:t>Will need Wildhorse</w:t>
        <w:tab/>
        <w:t>Commingled Stream</w:t>
      </w:r>
    </w:p>
    <w:p>
      <w:pPr>
        <w:pStyle w:val="Normal"/>
        <w:ind w:start="720" w:end="0"/>
        <w:jc w:val="both"/>
        <w:rPr/>
      </w:pPr>
      <w:r>
        <w:rPr/>
        <w:t>Consent to use site</w:t>
        <w:tab/>
        <w:t>with 3</w:t>
      </w:r>
      <w:r>
        <w:rPr>
          <w:vertAlign w:val="superscript"/>
        </w:rPr>
        <w:t>rd</w:t>
      </w:r>
      <w:r>
        <w:rPr/>
        <w:t xml:space="preserve"> Parties will create </w:t>
      </w:r>
    </w:p>
    <w:p>
      <w:pPr>
        <w:pStyle w:val="Normal"/>
        <w:ind w:start="720" w:end="0"/>
        <w:jc w:val="both"/>
        <w:rPr/>
      </w:pPr>
      <w:r>
        <w:rPr/>
        <w:tab/>
        <w:tab/>
        <w:tab/>
        <w:t xml:space="preserve">Problems.  </w:t>
      </w:r>
    </w:p>
    <w:p>
      <w:pPr>
        <w:pStyle w:val="Normal"/>
        <w:ind w:start="720" w:end="0"/>
        <w:jc w:val="both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146685</wp:posOffset>
                </wp:positionV>
                <wp:extent cx="457200" cy="685800"/>
                <wp:effectExtent l="4445" t="3175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1.55pt" to="107.95pt,65.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1828800</wp:posOffset>
                </wp:positionH>
                <wp:positionV relativeFrom="paragraph">
                  <wp:posOffset>146685</wp:posOffset>
                </wp:positionV>
                <wp:extent cx="571500" cy="685800"/>
                <wp:effectExtent l="0" t="3175" r="381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6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11.55pt" to="188.95pt,65.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 xml:space="preserve">Respond to Wildhorse’s gas quality claims </w:t>
      </w:r>
    </w:p>
    <w:p>
      <w:pPr>
        <w:pStyle w:val="Normal"/>
        <w:ind w:start="720" w:end="0"/>
        <w:jc w:val="both"/>
        <w:rPr/>
      </w:pPr>
      <w:r>
        <w:rPr/>
        <w:t>by restating our intention to install Ni plant and demand</w:t>
      </w:r>
    </w:p>
    <w:p>
      <w:pPr>
        <w:pStyle w:val="Normal"/>
        <w:ind w:start="720" w:end="0"/>
        <w:jc w:val="both"/>
        <w:rPr/>
      </w:pPr>
      <w:r>
        <w:rPr/>
        <w:t xml:space="preserve">specific assurances prior to a date certain that Wildhorse </w:t>
      </w:r>
    </w:p>
    <w:p>
      <w:pPr>
        <w:pStyle w:val="Normal"/>
        <w:ind w:start="720" w:end="0"/>
        <w:jc w:val="both"/>
        <w:rPr/>
      </w:pPr>
      <w:r>
        <w:rPr/>
        <w:t xml:space="preserve">can and will take the gas upon plant startup. </w:t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Letter to Wildhorse dated July 28, 2000. Note because only 50% of the ownership of San Arroyo production signed the amendment (which added the concept of unprofitability) only 50% of reserves are subject to the unprofitability section.  Thus, Goal #3 above would only allow release of ½ of the dedication.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Proposed letter to Wildhorse dated September 1, 2000. Crescendo given “first queue position”.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Wildhorse response letters dated August 4, 2000 and August 21, 2000.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BodyTextIndent">
    <w:name w:val="Body Text Indent"/>
    <w:basedOn w:val="Normal"/>
    <w:pPr>
      <w:ind w:hanging="360" w:start="1800" w:end="0"/>
      <w:jc w:val="both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2000-09-12T11:53:00Z</dcterms:created>
  <dc:creator>gnemec</dc:creator>
  <dc:description/>
  <dc:language>en-CA</dc:language>
  <cp:lastModifiedBy>gnemec</cp:lastModifiedBy>
  <cp:lastPrinted>2000-09-12T10:01:00Z</cp:lastPrinted>
  <dcterms:modified xsi:type="dcterms:W3CDTF">2000-09-12T13:27:00Z</dcterms:modified>
  <cp:revision>15</cp:revision>
  <dc:subject/>
  <dc:title>CRESCENDO ENERGY, L</dc:title>
</cp:coreProperties>
</file>