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sz w:val="20"/>
        </w:rPr>
        <w:t xml:space="preserve">Paragraph 13.  </w:t>
      </w:r>
      <w:r>
        <w:rPr>
          <w:b/>
          <w:sz w:val="20"/>
        </w:rPr>
        <w:t>Elections and Variables</w:t>
      </w:r>
    </w:p>
    <w:p>
      <w:pPr>
        <w:pStyle w:val="Normal"/>
        <w:numPr>
          <w:ilvl w:val="0"/>
          <w:numId w:val="28"/>
        </w:numPr>
        <w:spacing w:lineRule="auto" w:line="480"/>
        <w:rPr>
          <w:sz w:val="20"/>
        </w:rPr>
      </w:pPr>
      <w:r>
        <w:rPr>
          <w:b/>
          <w:i/>
          <w:sz w:val="20"/>
        </w:rPr>
        <w:t>Security Interest for “Obligations”.</w:t>
      </w:r>
      <w:r>
        <w:rPr>
          <w:sz w:val="20"/>
        </w:rPr>
        <w:t xml:space="preserve">  The term </w:t>
      </w:r>
      <w:r>
        <w:rPr>
          <w:i/>
          <w:sz w:val="20"/>
        </w:rPr>
        <w:t>“</w:t>
      </w:r>
      <w:r>
        <w:rPr>
          <w:b/>
          <w:i/>
          <w:sz w:val="20"/>
        </w:rPr>
        <w:t>Obligations</w:t>
      </w:r>
      <w:r>
        <w:rPr>
          <w:i/>
          <w:sz w:val="20"/>
        </w:rPr>
        <w:t>”</w:t>
      </w:r>
      <w:r>
        <w:rPr>
          <w:sz w:val="20"/>
        </w:rPr>
        <w:t xml:space="preserve">  as used in this Annex includes the following additional obligations:</w:t>
      </w:r>
    </w:p>
    <w:p>
      <w:pPr>
        <w:pStyle w:val="Normal"/>
        <w:spacing w:lineRule="auto" w:line="360"/>
        <w:ind w:start="360" w:end="0"/>
        <w:rPr>
          <w:sz w:val="20"/>
        </w:rPr>
      </w:pPr>
      <w:r>
        <w:rPr>
          <w:sz w:val="20"/>
        </w:rPr>
        <w:t>With respect to Party A:  None.................................................................................................................</w:t>
      </w:r>
    </w:p>
    <w:p>
      <w:pPr>
        <w:pStyle w:val="Normal"/>
        <w:spacing w:lineRule="auto" w:line="360"/>
        <w:ind w:start="360" w:end="0"/>
        <w:rPr>
          <w:sz w:val="20"/>
        </w:rPr>
      </w:pPr>
      <w:r>
        <w:rPr>
          <w:sz w:val="20"/>
        </w:rPr>
        <w:t>With respect to Party B:  None.................................................................................................................</w:t>
      </w:r>
    </w:p>
    <w:p>
      <w:pPr>
        <w:pStyle w:val="Normal"/>
        <w:numPr>
          <w:ilvl w:val="0"/>
          <w:numId w:val="2"/>
        </w:numPr>
        <w:spacing w:lineRule="auto" w:line="480"/>
        <w:rPr>
          <w:sz w:val="20"/>
        </w:rPr>
      </w:pPr>
      <w:r>
        <w:rPr>
          <w:b/>
          <w:i/>
          <w:sz w:val="20"/>
        </w:rPr>
        <w:t>Credit Support Obligations</w:t>
      </w:r>
      <w:r>
        <w:rPr>
          <w:sz w:val="20"/>
        </w:rPr>
        <w:t>.</w:t>
      </w:r>
    </w:p>
    <w:p>
      <w:pPr>
        <w:pStyle w:val="Normal"/>
        <w:numPr>
          <w:ilvl w:val="0"/>
          <w:numId w:val="14"/>
        </w:numPr>
        <w:spacing w:lineRule="auto" w:line="360"/>
        <w:rPr>
          <w:sz w:val="20"/>
        </w:rPr>
      </w:pPr>
      <w:r>
        <w:rPr>
          <w:b/>
          <w:i/>
          <w:sz w:val="20"/>
        </w:rPr>
        <w:t>Delivery Amount, Return Amount and Credit Support Amount</w:t>
      </w:r>
      <w:r>
        <w:rPr>
          <w:sz w:val="20"/>
        </w:rPr>
        <w:t>.</w:t>
        <w:tab/>
      </w:r>
    </w:p>
    <w:p>
      <w:pPr>
        <w:pStyle w:val="Normal"/>
        <w:numPr>
          <w:ilvl w:val="0"/>
          <w:numId w:val="9"/>
        </w:numPr>
        <w:spacing w:lineRule="auto" w:line="360"/>
        <w:rPr>
          <w:sz w:val="20"/>
        </w:rPr>
      </w:pPr>
      <w:r>
        <w:rPr>
          <w:b/>
          <w:i/>
          <w:sz w:val="20"/>
        </w:rPr>
        <w:t>“</w:t>
      </w:r>
      <w:r>
        <w:rPr>
          <w:b/>
          <w:i/>
          <w:sz w:val="20"/>
        </w:rPr>
        <w:t>Delivery Amount”</w:t>
      </w:r>
      <w:r>
        <w:rPr>
          <w:sz w:val="20"/>
        </w:rPr>
        <w:t xml:space="preserve"> has the meaning specified in Paragraph 3(a).</w:t>
      </w:r>
    </w:p>
    <w:p>
      <w:pPr>
        <w:pStyle w:val="Normal"/>
        <w:numPr>
          <w:ilvl w:val="0"/>
          <w:numId w:val="9"/>
        </w:numPr>
        <w:spacing w:lineRule="auto" w:line="360"/>
        <w:rPr>
          <w:sz w:val="20"/>
        </w:rPr>
      </w:pPr>
      <w:r>
        <w:rPr>
          <w:rFonts w:eastAsia="Arial"/>
          <w:b/>
          <w:i/>
          <w:sz w:val="20"/>
        </w:rPr>
        <w:t xml:space="preserve"> </w:t>
      </w:r>
      <w:r>
        <w:rPr>
          <w:b/>
          <w:i/>
          <w:sz w:val="20"/>
        </w:rPr>
        <w:t>“</w:t>
      </w:r>
      <w:r>
        <w:rPr>
          <w:b/>
          <w:i/>
          <w:sz w:val="20"/>
        </w:rPr>
        <w:t>Return Amount</w:t>
      </w:r>
      <w:r>
        <w:rPr>
          <w:i/>
          <w:sz w:val="20"/>
        </w:rPr>
        <w:t>”</w:t>
      </w:r>
      <w:r>
        <w:rPr>
          <w:sz w:val="20"/>
        </w:rPr>
        <w:t xml:space="preserve"> has the meaning specified in Paragraph 3(b).</w:t>
      </w:r>
    </w:p>
    <w:p>
      <w:pPr>
        <w:pStyle w:val="Normal"/>
        <w:numPr>
          <w:ilvl w:val="0"/>
          <w:numId w:val="9"/>
        </w:numPr>
        <w:spacing w:lineRule="auto" w:line="360"/>
        <w:rPr>
          <w:sz w:val="20"/>
        </w:rPr>
      </w:pPr>
      <w:r>
        <w:rPr>
          <w:b/>
          <w:i/>
          <w:sz w:val="20"/>
        </w:rPr>
        <w:t>“</w:t>
      </w:r>
      <w:r>
        <w:rPr>
          <w:b/>
          <w:i/>
          <w:sz w:val="20"/>
        </w:rPr>
        <w:t>Credit Support Amount”</w:t>
      </w:r>
      <w:r>
        <w:rPr>
          <w:sz w:val="20"/>
        </w:rPr>
        <w:t xml:space="preserve"> has the meaning specified in Paragraph 3.</w:t>
      </w:r>
    </w:p>
    <w:p>
      <w:pPr>
        <w:pStyle w:val="Normal"/>
        <w:spacing w:lineRule="auto" w:line="360"/>
        <w:ind w:start="360" w:end="0"/>
        <w:rPr/>
      </w:pPr>
      <w:r>
        <w:rPr>
          <w:sz w:val="20"/>
        </w:rPr>
        <w:t xml:space="preserve">(ii)  </w:t>
      </w:r>
      <w:r>
        <w:rPr>
          <w:b/>
          <w:i/>
          <w:sz w:val="20"/>
        </w:rPr>
        <w:t>Eligible Collateral</w:t>
      </w:r>
      <w:r>
        <w:rPr>
          <w:sz w:val="20"/>
        </w:rPr>
        <w:t xml:space="preserve">.  The following items will quality as </w:t>
      </w:r>
      <w:r>
        <w:rPr>
          <w:b/>
          <w:sz w:val="20"/>
        </w:rPr>
        <w:t xml:space="preserve">“Eligible Collateral” </w:t>
      </w:r>
      <w:r>
        <w:rPr>
          <w:sz w:val="20"/>
        </w:rPr>
        <w:t>for the</w:t>
      </w:r>
      <w:r>
        <w:rPr/>
        <w:t xml:space="preserve"> party </w:t>
      </w:r>
    </w:p>
    <w:p>
      <w:pPr>
        <w:pStyle w:val="Normal"/>
        <w:ind w:start="360" w:end="0"/>
        <w:rPr/>
      </w:pPr>
      <w:r>
        <w:rPr>
          <w:sz w:val="20"/>
        </w:rPr>
        <w:t>specified:</w:t>
        <w:tab/>
        <w:tab/>
        <w:tab/>
        <w:tab/>
        <w:tab/>
        <w:tab/>
      </w:r>
      <w:r>
        <w:rPr>
          <w:b/>
          <w:sz w:val="20"/>
        </w:rPr>
        <w:t>Party A</w:t>
        <w:tab/>
        <w:tab/>
        <w:t>Party B</w:t>
        <w:tab/>
        <w:tab/>
        <w:t>Valuation</w:t>
      </w:r>
    </w:p>
    <w:p>
      <w:pPr>
        <w:pStyle w:val="Heading1"/>
        <w:rPr/>
      </w:pPr>
      <w:r>
        <w:rPr/>
        <w:tab/>
        <w:tab/>
        <w:tab/>
        <w:tab/>
        <w:tab/>
        <w:tab/>
        <w:tab/>
        <w:tab/>
        <w:tab/>
        <w:tab/>
        <w:tab/>
        <w:t>Percentage</w:t>
      </w:r>
    </w:p>
    <w:p>
      <w:pPr>
        <w:pStyle w:val="Normal"/>
        <w:ind w:start="360" w:end="0"/>
        <w:rPr>
          <w:sz w:val="20"/>
        </w:rPr>
      </w:pPr>
      <w:r>
        <w:rPr>
          <w:sz w:val="20"/>
        </w:rPr>
      </w:r>
    </w:p>
    <w:p>
      <w:pPr>
        <w:pStyle w:val="Normal"/>
        <w:numPr>
          <w:ilvl w:val="0"/>
          <w:numId w:val="5"/>
        </w:numPr>
        <w:ind w:hanging="360" w:start="1080" w:end="0"/>
        <w:rPr>
          <w:sz w:val="20"/>
        </w:rPr>
      </w:pPr>
      <w:r>
        <w:rPr>
          <w:sz w:val="20"/>
        </w:rPr>
        <w:t>Cash..............................................................</w:t>
        <w:tab/>
        <w:t xml:space="preserve">  [ X ]</w:t>
        <w:tab/>
        <w:tab/>
        <w:t xml:space="preserve">  [ X ]</w:t>
        <w:tab/>
        <w:tab/>
        <w:t xml:space="preserve">  [100 ]%</w:t>
      </w:r>
    </w:p>
    <w:p>
      <w:pPr>
        <w:pStyle w:val="Normal"/>
        <w:ind w:start="360" w:end="0"/>
        <w:rPr>
          <w:sz w:val="20"/>
        </w:rPr>
      </w:pPr>
      <w:r>
        <w:rPr>
          <w:sz w:val="20"/>
        </w:rPr>
      </w:r>
    </w:p>
    <w:p>
      <w:pPr>
        <w:pStyle w:val="Normal"/>
        <w:numPr>
          <w:ilvl w:val="0"/>
          <w:numId w:val="0"/>
        </w:numPr>
        <w:ind w:firstLine="360" w:start="360" w:end="0"/>
        <w:rPr>
          <w:sz w:val="20"/>
        </w:rPr>
      </w:pPr>
      <w:r>
        <w:rPr>
          <w:sz w:val="20"/>
        </w:rPr>
        <w:t>(B)  other:..............................................................</w:t>
        <w:tab/>
        <w:t xml:space="preserve">  N/A</w:t>
        <w:tab/>
        <w:tab/>
        <w:t xml:space="preserve">  N/A</w:t>
        <w:tab/>
        <w:tab/>
        <w:t xml:space="preserve">    N/A</w:t>
      </w:r>
    </w:p>
    <w:p>
      <w:pPr>
        <w:pStyle w:val="Normal"/>
        <w:numPr>
          <w:ilvl w:val="0"/>
          <w:numId w:val="0"/>
        </w:numPr>
        <w:ind w:hanging="0" w:start="360" w:end="0"/>
        <w:rPr>
          <w:sz w:val="20"/>
        </w:rPr>
      </w:pPr>
      <w:r>
        <w:rPr>
          <w:sz w:val="20"/>
        </w:rPr>
      </w:r>
    </w:p>
    <w:p>
      <w:pPr>
        <w:pStyle w:val="Normal"/>
        <w:numPr>
          <w:ilvl w:val="0"/>
          <w:numId w:val="29"/>
        </w:numPr>
        <w:spacing w:lineRule="auto" w:line="480"/>
        <w:rPr>
          <w:b/>
          <w:sz w:val="20"/>
        </w:rPr>
      </w:pPr>
      <w:r>
        <w:rPr>
          <w:b/>
          <w:i/>
          <w:sz w:val="20"/>
        </w:rPr>
        <w:t>Other Eligible Support</w:t>
      </w:r>
      <w:r>
        <w:rPr>
          <w:sz w:val="20"/>
        </w:rPr>
        <w:t xml:space="preserve">.  The following items will quality as </w:t>
      </w:r>
      <w:r>
        <w:rPr>
          <w:b/>
          <w:i/>
          <w:sz w:val="20"/>
        </w:rPr>
        <w:t>“Other Eligible Support”</w:t>
      </w:r>
      <w:r>
        <w:rPr>
          <w:sz w:val="20"/>
        </w:rPr>
        <w:t xml:space="preserve"> for the party specified:</w:t>
      </w:r>
    </w:p>
    <w:p>
      <w:pPr>
        <w:pStyle w:val="BodyTextIndent"/>
        <w:rPr/>
      </w:pPr>
      <w:r>
        <w:rPr/>
        <w:t>One or more irrevocable standby letters of credit, expiring in not less than 60 days, issued by a United States Commercial bank possessing no less than an A rating by S&amp;P or A2 by Moody’s acceptable to the Secured Party in form and substance and in an amount reasonably acceptable to the Secured Party; and/or one or more surety bonds issued by an insurance company based in the United States possessing a Best’s Rating of no less than A acceptable to the Secured Party in form and substance and in an amount and a term reasonably acceptable to the Secured Party.</w:t>
      </w:r>
    </w:p>
    <w:p>
      <w:pPr>
        <w:pStyle w:val="BodyTextIndent"/>
        <w:spacing w:lineRule="auto" w:line="240"/>
        <w:rPr/>
      </w:pPr>
      <w:r>
        <w:rPr/>
      </w:r>
    </w:p>
    <w:p>
      <w:pPr>
        <w:pStyle w:val="Normal"/>
        <w:ind w:start="360" w:end="0"/>
        <w:rPr>
          <w:sz w:val="20"/>
        </w:rPr>
      </w:pPr>
      <w:r>
        <w:rPr>
          <w:sz w:val="20"/>
        </w:rPr>
        <w:t>(iv)</w:t>
        <w:tab/>
      </w:r>
      <w:r>
        <w:rPr>
          <w:b/>
          <w:i/>
          <w:sz w:val="20"/>
        </w:rPr>
        <w:t>Thresholds.</w:t>
      </w:r>
    </w:p>
    <w:p>
      <w:pPr>
        <w:pStyle w:val="Normal"/>
        <w:ind w:start="360" w:end="0"/>
        <w:rPr>
          <w:sz w:val="20"/>
        </w:rPr>
      </w:pPr>
      <w:r>
        <w:rPr>
          <w:sz w:val="20"/>
        </w:rPr>
      </w:r>
    </w:p>
    <w:p>
      <w:pPr>
        <w:pStyle w:val="Normal"/>
        <w:numPr>
          <w:ilvl w:val="0"/>
          <w:numId w:val="10"/>
        </w:numPr>
        <w:spacing w:lineRule="auto" w:line="360"/>
        <w:ind w:hanging="360" w:start="1080" w:end="0"/>
        <w:rPr>
          <w:sz w:val="20"/>
        </w:rPr>
      </w:pPr>
      <w:r>
        <w:rPr>
          <w:b/>
          <w:i/>
          <w:sz w:val="20"/>
        </w:rPr>
        <w:t>“</w:t>
      </w:r>
      <w:r>
        <w:rPr>
          <w:b/>
          <w:i/>
          <w:sz w:val="20"/>
        </w:rPr>
        <w:t>Independent Amount”</w:t>
      </w:r>
      <w:r>
        <w:rPr>
          <w:sz w:val="20"/>
        </w:rPr>
        <w:t xml:space="preserve"> means with respect to Party A: $ zero.................................................</w:t>
      </w:r>
    </w:p>
    <w:p>
      <w:pPr>
        <w:pStyle w:val="Normal"/>
        <w:numPr>
          <w:ilvl w:val="0"/>
          <w:numId w:val="0"/>
        </w:numPr>
        <w:ind w:firstLine="360" w:start="720" w:end="0"/>
        <w:rPr>
          <w:b/>
          <w:sz w:val="20"/>
        </w:rPr>
      </w:pPr>
      <w:r>
        <w:rPr>
          <w:b/>
          <w:i/>
          <w:sz w:val="20"/>
        </w:rPr>
        <w:t>“</w:t>
      </w:r>
      <w:r>
        <w:rPr>
          <w:b/>
          <w:i/>
          <w:sz w:val="20"/>
        </w:rPr>
        <w:t>Independent Amount”</w:t>
      </w:r>
      <w:r>
        <w:rPr>
          <w:sz w:val="20"/>
        </w:rPr>
        <w:t xml:space="preserve"> means with respect to Party B: $ zero.................................................</w:t>
      </w:r>
    </w:p>
    <w:p>
      <w:pPr>
        <w:pStyle w:val="Normal"/>
        <w:numPr>
          <w:ilvl w:val="0"/>
          <w:numId w:val="0"/>
        </w:numPr>
        <w:ind w:hanging="0" w:start="360" w:end="0"/>
        <w:rPr>
          <w:b/>
          <w:sz w:val="20"/>
        </w:rPr>
      </w:pPr>
      <w:r>
        <w:rPr>
          <w:b/>
          <w:sz w:val="20"/>
        </w:rPr>
      </w:r>
    </w:p>
    <w:p>
      <w:pPr>
        <w:pStyle w:val="Normal"/>
        <w:numPr>
          <w:ilvl w:val="0"/>
          <w:numId w:val="10"/>
        </w:numPr>
        <w:spacing w:lineRule="auto" w:line="360"/>
        <w:ind w:hanging="360" w:start="1080" w:end="0"/>
        <w:rPr>
          <w:sz w:val="20"/>
        </w:rPr>
      </w:pPr>
      <w:r>
        <w:rPr>
          <w:b/>
          <w:i/>
          <w:sz w:val="20"/>
        </w:rPr>
        <w:t>“</w:t>
      </w:r>
      <w:r>
        <w:rPr>
          <w:b/>
          <w:i/>
          <w:sz w:val="20"/>
        </w:rPr>
        <w:t>Threshold”</w:t>
      </w:r>
      <w:r>
        <w:rPr>
          <w:b/>
          <w:sz w:val="20"/>
        </w:rPr>
        <w:t xml:space="preserve"> </w:t>
      </w:r>
      <w:r>
        <w:rPr>
          <w:sz w:val="20"/>
        </w:rPr>
        <w:t xml:space="preserve">means with respect to Party A: $ </w:t>
      </w:r>
      <w:r>
        <w:rPr>
          <w:b/>
          <w:sz w:val="20"/>
        </w:rPr>
        <w:t>(to be determined by Credit Dept.)</w:t>
      </w:r>
      <w:r>
        <w:rPr>
          <w:sz w:val="20"/>
        </w:rPr>
        <w:t>................</w:t>
      </w:r>
    </w:p>
    <w:p>
      <w:pPr>
        <w:pStyle w:val="Normal"/>
        <w:ind w:firstLine="360" w:start="720" w:end="0"/>
        <w:rPr/>
      </w:pPr>
      <w:r>
        <w:rPr>
          <w:b/>
          <w:i/>
          <w:sz w:val="20"/>
        </w:rPr>
        <w:t>“</w:t>
      </w:r>
      <w:r>
        <w:rPr>
          <w:b/>
          <w:i/>
          <w:sz w:val="20"/>
        </w:rPr>
        <w:t>Threshold”</w:t>
      </w:r>
      <w:r>
        <w:rPr>
          <w:sz w:val="20"/>
        </w:rPr>
        <w:t xml:space="preserve"> means with respect to Party B: $ </w:t>
      </w:r>
      <w:r>
        <w:rPr>
          <w:b/>
          <w:sz w:val="20"/>
        </w:rPr>
        <w:t>(to be determined by Credit Dept.)</w:t>
      </w:r>
      <w:r>
        <w:rPr>
          <w:sz w:val="20"/>
        </w:rPr>
        <w:t>................</w:t>
      </w:r>
    </w:p>
    <w:p>
      <w:pPr>
        <w:pStyle w:val="Normal"/>
        <w:ind w:start="360" w:end="0"/>
        <w:rPr>
          <w:sz w:val="20"/>
        </w:rPr>
      </w:pPr>
      <w:r>
        <w:rPr>
          <w:sz w:val="20"/>
        </w:rPr>
      </w:r>
    </w:p>
    <w:p>
      <w:pPr>
        <w:pStyle w:val="Normal"/>
        <w:numPr>
          <w:ilvl w:val="0"/>
          <w:numId w:val="10"/>
        </w:numPr>
        <w:spacing w:lineRule="auto" w:line="360"/>
        <w:ind w:hanging="360" w:start="1080" w:end="0"/>
        <w:jc w:val="both"/>
        <w:rPr>
          <w:sz w:val="20"/>
        </w:rPr>
      </w:pPr>
      <w:r>
        <w:rPr>
          <w:b/>
          <w:i/>
          <w:sz w:val="20"/>
        </w:rPr>
        <w:t>“</w:t>
      </w:r>
      <w:r>
        <w:rPr>
          <w:b/>
          <w:i/>
          <w:sz w:val="20"/>
        </w:rPr>
        <w:t>Minimum Transfer Amount”</w:t>
      </w:r>
      <w:r>
        <w:rPr>
          <w:sz w:val="20"/>
        </w:rPr>
        <w:t xml:space="preserve"> means with respect to both Party A and Party B USD  </w:t>
      </w:r>
    </w:p>
    <w:p>
      <w:pPr>
        <w:pStyle w:val="Normal"/>
        <w:spacing w:lineRule="auto" w:line="360"/>
        <w:ind w:firstLine="360" w:start="360" w:end="0"/>
        <w:jc w:val="both"/>
        <w:rPr>
          <w:sz w:val="20"/>
        </w:rPr>
      </w:pPr>
      <w:r>
        <w:rPr>
          <w:rFonts w:eastAsia="Arial"/>
          <w:sz w:val="20"/>
        </w:rPr>
        <w:t xml:space="preserve">       </w:t>
      </w:r>
      <w:r>
        <w:rPr>
          <w:sz w:val="20"/>
        </w:rPr>
        <w:t xml:space="preserve">$100,000 subject to the following: (i) if the Party is a Defaulting Party at the time, its Minimum </w:t>
      </w:r>
    </w:p>
    <w:p>
      <w:pPr>
        <w:pStyle w:val="BodyTextIndent2"/>
        <w:rPr/>
      </w:pPr>
      <w:r>
        <w:rPr/>
        <w:t>Transfer Amount will be zero; and (ii) if (a) a Secured Party is holding Posted Credit Support at the time, (b) the Credit Support Amount, at that time, for that Secured Party is, or is deemed to be, zero and (c) but for its Minimum Transfer Amount, that Secured Party would be required to make a Transfer to the Pledgor under Paragraph 3(b), then and in that event, the Minimum Transfer Amount for that Secured Party will be zero.</w:t>
      </w:r>
    </w:p>
    <w:p>
      <w:pPr>
        <w:pStyle w:val="Normal"/>
        <w:numPr>
          <w:ilvl w:val="0"/>
          <w:numId w:val="8"/>
        </w:numPr>
        <w:spacing w:lineRule="auto" w:line="360"/>
        <w:ind w:hanging="360" w:start="1080" w:end="0"/>
        <w:rPr>
          <w:sz w:val="20"/>
        </w:rPr>
      </w:pPr>
      <w:r>
        <w:rPr>
          <w:b/>
          <w:sz w:val="20"/>
        </w:rPr>
        <w:t>Rounding.</w:t>
      </w:r>
      <w:r>
        <w:rPr>
          <w:sz w:val="20"/>
        </w:rPr>
        <w:t xml:space="preserve">  The Delivery Amount and the Return Amount will be rounded up and down to the nearest integral multiple of $10,000, respectively.</w:t>
      </w:r>
    </w:p>
    <w:p>
      <w:pPr>
        <w:pStyle w:val="Normal"/>
        <w:ind w:start="360" w:end="0"/>
        <w:rPr>
          <w:sz w:val="20"/>
        </w:rPr>
      </w:pPr>
      <w:r>
        <w:rPr>
          <w:sz w:val="20"/>
        </w:rPr>
      </w:r>
    </w:p>
    <w:p>
      <w:pPr>
        <w:pStyle w:val="Normal"/>
        <w:numPr>
          <w:ilvl w:val="0"/>
          <w:numId w:val="4"/>
        </w:numPr>
        <w:spacing w:lineRule="auto" w:line="480"/>
        <w:rPr>
          <w:sz w:val="20"/>
        </w:rPr>
      </w:pPr>
      <w:r>
        <w:rPr>
          <w:b/>
          <w:i/>
          <w:sz w:val="20"/>
        </w:rPr>
        <w:t>Valuation and Timing</w:t>
      </w:r>
      <w:r>
        <w:rPr>
          <w:sz w:val="20"/>
        </w:rPr>
        <w:t>.</w:t>
      </w:r>
    </w:p>
    <w:p>
      <w:pPr>
        <w:pStyle w:val="Normal"/>
        <w:numPr>
          <w:ilvl w:val="0"/>
          <w:numId w:val="18"/>
        </w:numPr>
        <w:spacing w:lineRule="auto" w:line="360"/>
        <w:jc w:val="both"/>
        <w:rPr>
          <w:sz w:val="20"/>
        </w:rPr>
      </w:pPr>
      <w:r>
        <w:rPr>
          <w:b/>
          <w:i/>
          <w:sz w:val="20"/>
        </w:rPr>
        <w:t>“</w:t>
      </w:r>
      <w:r>
        <w:rPr>
          <w:b/>
          <w:i/>
          <w:sz w:val="20"/>
        </w:rPr>
        <w:t>Valuation Agent”</w:t>
      </w:r>
      <w:r>
        <w:rPr>
          <w:sz w:val="20"/>
        </w:rPr>
        <w:t xml:space="preserve"> means Party A unless (i) Party A fails to perform its obligations as Valuation Agent under Paragraph 4(c) or Paragraph 6(d) in a timely manner, (ii) an Event of Default or Potential Event of Default has occurred and is continuing with respect to Party A; or (iii) otherwise specified in a Confirmation in relation to the relevant Transaction, in which case Party B is the Valuation Agent. </w:t>
      </w:r>
    </w:p>
    <w:p>
      <w:pPr>
        <w:pStyle w:val="Normal"/>
        <w:ind w:start="360" w:end="0"/>
        <w:jc w:val="both"/>
        <w:rPr>
          <w:sz w:val="20"/>
        </w:rPr>
      </w:pPr>
      <w:r>
        <w:rPr>
          <w:sz w:val="20"/>
        </w:rPr>
      </w:r>
    </w:p>
    <w:p>
      <w:pPr>
        <w:pStyle w:val="Normal"/>
        <w:numPr>
          <w:ilvl w:val="0"/>
          <w:numId w:val="20"/>
        </w:numPr>
        <w:spacing w:lineRule="auto" w:line="360"/>
        <w:jc w:val="both"/>
        <w:rPr>
          <w:sz w:val="20"/>
        </w:rPr>
      </w:pPr>
      <w:r>
        <w:rPr>
          <w:b/>
          <w:i/>
          <w:sz w:val="20"/>
        </w:rPr>
        <w:t>“</w:t>
      </w:r>
      <w:r>
        <w:rPr>
          <w:b/>
          <w:i/>
          <w:sz w:val="20"/>
        </w:rPr>
        <w:t>Valuation Date”</w:t>
      </w:r>
      <w:r>
        <w:rPr>
          <w:sz w:val="20"/>
        </w:rPr>
        <w:t xml:space="preserve"> means (a) the Trade Date of each Transaction, if either Party has an Independent Amount greater than zero for that Transaction, (b) the last day which is a Business Day in New York City in each month and (c) each other such Business Day designated as a Valuation Date by notice given by one Party to the other no later than the Notification Time on the Local Business Day before the Valuation Date so designated.</w:t>
      </w:r>
    </w:p>
    <w:p>
      <w:pPr>
        <w:pStyle w:val="Normal"/>
        <w:ind w:start="360" w:end="0"/>
        <w:jc w:val="both"/>
        <w:rPr>
          <w:sz w:val="20"/>
        </w:rPr>
      </w:pPr>
      <w:r>
        <w:rPr>
          <w:sz w:val="20"/>
        </w:rPr>
      </w:r>
    </w:p>
    <w:p>
      <w:pPr>
        <w:pStyle w:val="Normal"/>
        <w:numPr>
          <w:ilvl w:val="0"/>
          <w:numId w:val="27"/>
        </w:numPr>
        <w:spacing w:lineRule="auto" w:line="360"/>
        <w:rPr>
          <w:sz w:val="20"/>
        </w:rPr>
      </w:pPr>
      <w:r>
        <w:rPr>
          <w:b/>
          <w:i/>
          <w:sz w:val="20"/>
        </w:rPr>
        <w:t>“</w:t>
      </w:r>
      <w:r>
        <w:rPr>
          <w:b/>
          <w:i/>
          <w:sz w:val="20"/>
        </w:rPr>
        <w:t>Valuation Time”</w:t>
      </w:r>
      <w:r>
        <w:rPr>
          <w:sz w:val="20"/>
        </w:rPr>
        <w:t xml:space="preserve"> means the close of business on the Local Business Day before the Valuation Date or date of calculation, as applicable; </w:t>
      </w:r>
      <w:r>
        <w:rPr>
          <w:i/>
          <w:sz w:val="20"/>
        </w:rPr>
        <w:t>provided</w:t>
      </w:r>
      <w:r>
        <w:rPr>
          <w:sz w:val="20"/>
        </w:rPr>
        <w:t xml:space="preserve"> that the calculations of Value and Exposure will be made as of approximately the same time on the same date.</w:t>
      </w:r>
    </w:p>
    <w:p>
      <w:pPr>
        <w:pStyle w:val="Normal"/>
        <w:ind w:start="360" w:end="0"/>
        <w:rPr>
          <w:sz w:val="20"/>
        </w:rPr>
      </w:pPr>
      <w:r>
        <w:rPr>
          <w:sz w:val="20"/>
        </w:rPr>
      </w:r>
    </w:p>
    <w:p>
      <w:pPr>
        <w:pStyle w:val="Normal"/>
        <w:numPr>
          <w:ilvl w:val="0"/>
          <w:numId w:val="24"/>
        </w:numPr>
        <w:rPr>
          <w:sz w:val="20"/>
        </w:rPr>
      </w:pPr>
      <w:r>
        <w:rPr>
          <w:b/>
          <w:i/>
          <w:sz w:val="20"/>
        </w:rPr>
        <w:t>“</w:t>
      </w:r>
      <w:r>
        <w:rPr>
          <w:b/>
          <w:i/>
          <w:sz w:val="20"/>
        </w:rPr>
        <w:t>Notification Time”</w:t>
      </w:r>
      <w:r>
        <w:rPr>
          <w:sz w:val="20"/>
        </w:rPr>
        <w:t xml:space="preserve"> means 1:00 p.m., New York time,  on a Local Business Day.</w:t>
      </w:r>
    </w:p>
    <w:p>
      <w:pPr>
        <w:pStyle w:val="Normal"/>
        <w:ind w:start="360" w:end="0"/>
        <w:rPr>
          <w:sz w:val="20"/>
        </w:rPr>
      </w:pPr>
      <w:r>
        <w:rPr>
          <w:sz w:val="20"/>
        </w:rPr>
      </w:r>
    </w:p>
    <w:p>
      <w:pPr>
        <w:pStyle w:val="Normal"/>
        <w:ind w:start="360" w:end="0"/>
        <w:rPr>
          <w:sz w:val="20"/>
        </w:rPr>
      </w:pPr>
      <w:r>
        <w:rPr>
          <w:sz w:val="20"/>
        </w:rPr>
      </w:r>
    </w:p>
    <w:p>
      <w:pPr>
        <w:pStyle w:val="Normal"/>
        <w:numPr>
          <w:ilvl w:val="0"/>
          <w:numId w:val="3"/>
        </w:numPr>
        <w:spacing w:lineRule="auto" w:line="360"/>
        <w:jc w:val="both"/>
        <w:rPr>
          <w:sz w:val="20"/>
        </w:rPr>
      </w:pPr>
      <w:r>
        <w:rPr>
          <w:b/>
          <w:i/>
          <w:sz w:val="20"/>
        </w:rPr>
        <w:t>Conditions Precedent and Secured Party’s Rights and Remedies</w:t>
      </w:r>
      <w:r>
        <w:rPr>
          <w:sz w:val="20"/>
        </w:rPr>
        <w:t>.  The following Termination Event(s) will be a</w:t>
      </w:r>
      <w:r>
        <w:rPr>
          <w:b/>
          <w:sz w:val="20"/>
        </w:rPr>
        <w:t xml:space="preserve"> </w:t>
      </w:r>
      <w:r>
        <w:rPr>
          <w:b/>
          <w:i/>
          <w:sz w:val="20"/>
        </w:rPr>
        <w:t>“Specified Condition”</w:t>
      </w:r>
      <w:r>
        <w:rPr>
          <w:sz w:val="20"/>
        </w:rPr>
        <w:t xml:space="preserve"> for the party specified (that party being the Affected Party if the Termination Event occurs with respect to that party):</w:t>
      </w:r>
    </w:p>
    <w:p>
      <w:pPr>
        <w:pStyle w:val="Normal"/>
        <w:rPr>
          <w:sz w:val="20"/>
        </w:rPr>
      </w:pPr>
      <w:r>
        <w:rPr>
          <w:sz w:val="20"/>
        </w:rPr>
        <w:tab/>
        <w:tab/>
        <w:tab/>
        <w:tab/>
        <w:tab/>
        <w:tab/>
        <w:tab/>
        <w:tab/>
      </w:r>
      <w:r>
        <w:rPr>
          <w:b/>
          <w:sz w:val="20"/>
        </w:rPr>
        <w:t>Party A</w:t>
        <w:tab/>
        <w:tab/>
        <w:tab/>
        <w:t>Party B</w:t>
      </w:r>
    </w:p>
    <w:p>
      <w:pPr>
        <w:pStyle w:val="Normal"/>
        <w:rPr>
          <w:sz w:val="20"/>
        </w:rPr>
      </w:pPr>
      <w:r>
        <w:rPr>
          <w:sz w:val="20"/>
        </w:rPr>
        <w:tab/>
        <w:tab/>
        <w:t>Illegality</w:t>
        <w:tab/>
        <w:tab/>
        <w:tab/>
        <w:tab/>
        <w:tab/>
        <w:tab/>
        <w:t xml:space="preserve">   [ X ]</w:t>
        <w:tab/>
        <w:tab/>
        <w:tab/>
        <w:t xml:space="preserve">   [ X ]</w:t>
      </w:r>
    </w:p>
    <w:p>
      <w:pPr>
        <w:pStyle w:val="Normal"/>
        <w:ind w:firstLine="720" w:end="0"/>
        <w:rPr>
          <w:sz w:val="20"/>
        </w:rPr>
      </w:pPr>
      <w:r>
        <w:rPr>
          <w:sz w:val="20"/>
        </w:rPr>
        <w:tab/>
        <w:t>Credit Event Upon Merger</w:t>
        <w:tab/>
        <w:tab/>
        <w:tab/>
        <w:t xml:space="preserve">   [ X ]</w:t>
        <w:tab/>
        <w:tab/>
        <w:tab/>
        <w:t xml:space="preserve">   [ X ]</w:t>
      </w:r>
    </w:p>
    <w:p>
      <w:pPr>
        <w:pStyle w:val="Normal"/>
        <w:ind w:firstLine="720" w:end="0"/>
        <w:rPr>
          <w:sz w:val="20"/>
        </w:rPr>
      </w:pPr>
      <w:r>
        <w:rPr>
          <w:sz w:val="20"/>
        </w:rPr>
        <w:tab/>
        <w:t>Additional Termination Events</w:t>
        <w:tab/>
        <w:tab/>
        <w:tab/>
        <w:t xml:space="preserve">   [ X ]</w:t>
        <w:tab/>
        <w:tab/>
        <w:tab/>
        <w:t xml:space="preserve">   [ X ]</w:t>
      </w:r>
    </w:p>
    <w:p>
      <w:pPr>
        <w:pStyle w:val="Normal"/>
        <w:rPr>
          <w:sz w:val="20"/>
        </w:rPr>
      </w:pPr>
      <w:r>
        <w:rPr>
          <w:sz w:val="20"/>
        </w:rPr>
      </w:r>
    </w:p>
    <w:p>
      <w:pPr>
        <w:pStyle w:val="Normal"/>
        <w:rPr>
          <w:sz w:val="20"/>
        </w:rPr>
      </w:pPr>
      <w:r>
        <w:rPr>
          <w:sz w:val="20"/>
        </w:rPr>
      </w:r>
    </w:p>
    <w:p>
      <w:pPr>
        <w:pStyle w:val="Normal"/>
        <w:rPr/>
      </w:pPr>
      <w:r>
        <w:rPr>
          <w:rFonts w:eastAsia="Arial"/>
          <w:sz w:val="20"/>
        </w:rPr>
        <w:t xml:space="preserve"> </w:t>
      </w:r>
      <w:r>
        <w:rPr>
          <w:sz w:val="20"/>
        </w:rPr>
        <w:t>(e)</w:t>
        <w:tab/>
      </w:r>
      <w:r>
        <w:rPr>
          <w:b/>
          <w:i/>
          <w:sz w:val="20"/>
        </w:rPr>
        <w:t>Substitution.</w:t>
      </w:r>
    </w:p>
    <w:p>
      <w:pPr>
        <w:pStyle w:val="Normal"/>
        <w:rPr>
          <w:b/>
          <w:i/>
          <w:i/>
          <w:sz w:val="20"/>
        </w:rPr>
      </w:pPr>
      <w:r>
        <w:rPr>
          <w:b/>
          <w:i/>
          <w:sz w:val="20"/>
        </w:rPr>
      </w:r>
    </w:p>
    <w:p>
      <w:pPr>
        <w:pStyle w:val="Normal"/>
        <w:numPr>
          <w:ilvl w:val="0"/>
          <w:numId w:val="15"/>
        </w:numPr>
        <w:rPr>
          <w:sz w:val="20"/>
        </w:rPr>
      </w:pPr>
      <w:r>
        <w:rPr>
          <w:b/>
          <w:i/>
          <w:sz w:val="20"/>
        </w:rPr>
        <w:t>“</w:t>
      </w:r>
      <w:r>
        <w:rPr>
          <w:b/>
          <w:i/>
          <w:sz w:val="20"/>
        </w:rPr>
        <w:t>Substitution Date”</w:t>
      </w:r>
      <w:r>
        <w:rPr>
          <w:sz w:val="20"/>
        </w:rPr>
        <w:t xml:space="preserve"> has the meaning specified in Paragraph 4(d)(ii).</w:t>
      </w:r>
    </w:p>
    <w:p>
      <w:pPr>
        <w:pStyle w:val="Normal"/>
        <w:ind w:start="720" w:end="0"/>
        <w:rPr>
          <w:sz w:val="20"/>
        </w:rPr>
      </w:pPr>
      <w:r>
        <w:rPr>
          <w:sz w:val="20"/>
        </w:rPr>
      </w:r>
    </w:p>
    <w:p>
      <w:pPr>
        <w:pStyle w:val="Normal"/>
        <w:numPr>
          <w:ilvl w:val="0"/>
          <w:numId w:val="15"/>
        </w:numPr>
        <w:spacing w:lineRule="auto" w:line="360"/>
        <w:rPr>
          <w:sz w:val="20"/>
        </w:rPr>
      </w:pPr>
      <w:r>
        <w:rPr>
          <w:b/>
          <w:i/>
          <w:sz w:val="20"/>
        </w:rPr>
        <w:t>Consent</w:t>
      </w:r>
      <w:r>
        <w:rPr>
          <w:i/>
          <w:sz w:val="20"/>
        </w:rPr>
        <w:t>.</w:t>
      </w:r>
      <w:r>
        <w:rPr>
          <w:sz w:val="20"/>
        </w:rPr>
        <w:t xml:space="preserve">  Inapplicable, which means that no consent of the Secured Party’s is required for any substitution pursuant to Paragraph 4(d).</w:t>
      </w:r>
    </w:p>
    <w:p>
      <w:pPr>
        <w:pStyle w:val="Normal"/>
        <w:spacing w:lineRule="auto" w:line="360"/>
        <w:ind w:start="720" w:end="0"/>
        <w:rPr>
          <w:sz w:val="20"/>
        </w:rPr>
      </w:pPr>
      <w:r>
        <w:rPr>
          <w:sz w:val="20"/>
        </w:rPr>
      </w:r>
    </w:p>
    <w:p>
      <w:pPr>
        <w:pStyle w:val="Normal"/>
        <w:numPr>
          <w:ilvl w:val="0"/>
          <w:numId w:val="23"/>
        </w:numPr>
        <w:ind w:hanging="720" w:start="720" w:end="0"/>
        <w:rPr>
          <w:sz w:val="20"/>
        </w:rPr>
      </w:pPr>
      <w:r>
        <w:rPr>
          <w:b/>
          <w:i/>
          <w:sz w:val="20"/>
        </w:rPr>
        <w:t>Dispute Resolution</w:t>
      </w:r>
      <w:r>
        <w:rPr>
          <w:sz w:val="20"/>
        </w:rPr>
        <w:t>.</w:t>
      </w:r>
    </w:p>
    <w:p>
      <w:pPr>
        <w:pStyle w:val="Normal"/>
        <w:rPr>
          <w:sz w:val="20"/>
        </w:rPr>
      </w:pPr>
      <w:r>
        <w:rPr>
          <w:sz w:val="20"/>
        </w:rPr>
        <w:tab/>
      </w:r>
    </w:p>
    <w:p>
      <w:pPr>
        <w:pStyle w:val="Normal"/>
        <w:numPr>
          <w:ilvl w:val="0"/>
          <w:numId w:val="16"/>
        </w:numPr>
        <w:spacing w:lineRule="auto" w:line="360"/>
        <w:jc w:val="both"/>
        <w:rPr>
          <w:sz w:val="20"/>
        </w:rPr>
      </w:pPr>
      <w:r>
        <w:rPr>
          <w:b/>
          <w:i/>
          <w:sz w:val="20"/>
        </w:rPr>
        <w:t>“</w:t>
      </w:r>
      <w:r>
        <w:rPr>
          <w:b/>
          <w:i/>
          <w:sz w:val="20"/>
        </w:rPr>
        <w:t>Resolution Time”</w:t>
      </w:r>
      <w:r>
        <w:rPr>
          <w:sz w:val="20"/>
        </w:rPr>
        <w:t xml:space="preserve"> means 1:00 p.m., New York Time, on the Local Business Day following the date on which the notice is given that gives rise to a dispute under Paragraph 5.</w:t>
      </w:r>
    </w:p>
    <w:p>
      <w:pPr>
        <w:pStyle w:val="Normal"/>
        <w:ind w:start="720" w:end="0"/>
        <w:jc w:val="both"/>
        <w:rPr>
          <w:sz w:val="20"/>
        </w:rPr>
      </w:pPr>
      <w:r>
        <w:rPr>
          <w:sz w:val="20"/>
        </w:rPr>
      </w:r>
    </w:p>
    <w:p>
      <w:pPr>
        <w:pStyle w:val="Normal"/>
        <w:numPr>
          <w:ilvl w:val="0"/>
          <w:numId w:val="16"/>
        </w:numPr>
        <w:spacing w:lineRule="auto" w:line="360"/>
        <w:jc w:val="both"/>
        <w:rPr>
          <w:sz w:val="20"/>
        </w:rPr>
      </w:pPr>
      <w:r>
        <w:rPr>
          <w:b/>
          <w:i/>
          <w:sz w:val="20"/>
        </w:rPr>
        <w:t>Value</w:t>
      </w:r>
      <w:r>
        <w:rPr>
          <w:i/>
          <w:sz w:val="20"/>
        </w:rPr>
        <w:t>.</w:t>
      </w:r>
      <w:r>
        <w:rPr>
          <w:sz w:val="20"/>
        </w:rPr>
        <w:t xml:space="preserve">  For the purpose of Paragraphs 5(i)(C) and 5(ii), Paragraph 5(i)(B) of the Annex is amended by replacing the following language in the sixth and seventh lines thereof: “then the Valuation Agent’s original calculations will be used for that Transaction (or Swap Transaction);” with the following: “then both Party A and Party B will in good faith and in a commercially reasonable manner determine a reasonable Value for the Transactions in dispute.”  Value shall be computed in accordance with Paragraph 13(b).</w:t>
      </w:r>
    </w:p>
    <w:p>
      <w:pPr>
        <w:pStyle w:val="Normal"/>
        <w:spacing w:lineRule="auto" w:line="360"/>
        <w:jc w:val="both"/>
        <w:rPr>
          <w:sz w:val="20"/>
        </w:rPr>
      </w:pPr>
      <w:r>
        <w:rPr>
          <w:sz w:val="20"/>
        </w:rPr>
      </w:r>
    </w:p>
    <w:p>
      <w:pPr>
        <w:pStyle w:val="Normal"/>
        <w:numPr>
          <w:ilvl w:val="0"/>
          <w:numId w:val="16"/>
        </w:numPr>
        <w:spacing w:lineRule="auto" w:line="360"/>
        <w:jc w:val="both"/>
        <w:rPr>
          <w:sz w:val="20"/>
        </w:rPr>
      </w:pPr>
      <w:r>
        <w:rPr>
          <w:b/>
          <w:i/>
          <w:sz w:val="20"/>
        </w:rPr>
        <w:t>Alternative</w:t>
      </w:r>
      <w:r>
        <w:rPr>
          <w:b/>
          <w:sz w:val="20"/>
        </w:rPr>
        <w:t>.</w:t>
      </w:r>
      <w:r>
        <w:rPr>
          <w:sz w:val="20"/>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made at or before the Notification Time but will be due on the second Local Business Day after the demand if the demand is made after the Notification Time.</w:t>
      </w:r>
    </w:p>
    <w:p>
      <w:pPr>
        <w:pStyle w:val="Normal"/>
        <w:spacing w:lineRule="auto" w:line="360"/>
        <w:rPr>
          <w:sz w:val="20"/>
        </w:rPr>
      </w:pPr>
      <w:r>
        <w:rPr>
          <w:sz w:val="20"/>
        </w:rPr>
      </w:r>
    </w:p>
    <w:p>
      <w:pPr>
        <w:pStyle w:val="Normal"/>
        <w:numPr>
          <w:ilvl w:val="0"/>
          <w:numId w:val="21"/>
        </w:numPr>
        <w:ind w:hanging="720" w:start="720" w:end="0"/>
        <w:rPr>
          <w:sz w:val="20"/>
        </w:rPr>
      </w:pPr>
      <w:r>
        <w:rPr>
          <w:b/>
          <w:i/>
          <w:sz w:val="20"/>
        </w:rPr>
        <w:t>Holding and Using Posted Collateral</w:t>
      </w:r>
      <w:r>
        <w:rPr>
          <w:sz w:val="20"/>
        </w:rPr>
        <w:t>.</w:t>
      </w:r>
    </w:p>
    <w:p>
      <w:pPr>
        <w:pStyle w:val="Normal"/>
        <w:rPr>
          <w:sz w:val="20"/>
        </w:rPr>
      </w:pPr>
      <w:r>
        <w:rPr>
          <w:sz w:val="20"/>
        </w:rPr>
      </w:r>
    </w:p>
    <w:p>
      <w:pPr>
        <w:pStyle w:val="Normal"/>
        <w:numPr>
          <w:ilvl w:val="0"/>
          <w:numId w:val="12"/>
        </w:numPr>
        <w:spacing w:lineRule="auto" w:line="360"/>
        <w:jc w:val="both"/>
        <w:rPr>
          <w:sz w:val="20"/>
        </w:rPr>
      </w:pPr>
      <w:r>
        <w:rPr>
          <w:b/>
          <w:i/>
          <w:sz w:val="20"/>
        </w:rPr>
        <w:t>Eligibility to Hold Posted Collateral; Custodians</w:t>
      </w:r>
      <w:r>
        <w:rPr>
          <w:sz w:val="20"/>
        </w:rPr>
        <w:t xml:space="preserve">.  Party A and its Custodian will be entitled to hold Posted Collateral pursuant to Paragraph 6(b); </w:t>
      </w:r>
      <w:r>
        <w:rPr>
          <w:i/>
          <w:sz w:val="20"/>
        </w:rPr>
        <w:t>provided</w:t>
      </w:r>
      <w:r>
        <w:rPr>
          <w:sz w:val="20"/>
        </w:rPr>
        <w:t xml:space="preserve"> that the following conditions applicable to it are satisfied:</w:t>
      </w:r>
    </w:p>
    <w:p>
      <w:pPr>
        <w:pStyle w:val="Normal"/>
        <w:numPr>
          <w:ilvl w:val="0"/>
          <w:numId w:val="22"/>
        </w:numPr>
        <w:rPr>
          <w:sz w:val="20"/>
        </w:rPr>
      </w:pPr>
      <w:r>
        <w:rPr>
          <w:sz w:val="20"/>
        </w:rPr>
        <w:t>Party A is not a Defaulting Party.</w:t>
      </w:r>
    </w:p>
    <w:p>
      <w:pPr>
        <w:pStyle w:val="Normal"/>
        <w:numPr>
          <w:ilvl w:val="0"/>
          <w:numId w:val="0"/>
        </w:numPr>
        <w:ind w:hanging="0" w:start="1440" w:end="0"/>
        <w:rPr>
          <w:sz w:val="20"/>
        </w:rPr>
      </w:pPr>
      <w:r>
        <w:rPr>
          <w:sz w:val="20"/>
        </w:rPr>
      </w:r>
    </w:p>
    <w:p>
      <w:pPr>
        <w:pStyle w:val="Normal"/>
        <w:numPr>
          <w:ilvl w:val="0"/>
          <w:numId w:val="22"/>
        </w:numPr>
        <w:rPr>
          <w:sz w:val="20"/>
        </w:rPr>
      </w:pPr>
      <w:r>
        <w:rPr>
          <w:sz w:val="20"/>
        </w:rPr>
        <w:t>Posted Collateral may be held only in the following jurisdictions: United States.............</w:t>
      </w:r>
    </w:p>
    <w:p>
      <w:pPr>
        <w:pStyle w:val="Normal"/>
        <w:rPr>
          <w:sz w:val="20"/>
        </w:rPr>
      </w:pPr>
      <w:r>
        <w:rPr>
          <w:sz w:val="20"/>
        </w:rPr>
      </w:r>
    </w:p>
    <w:p>
      <w:pPr>
        <w:pStyle w:val="Normal"/>
        <w:rPr/>
      </w:pPr>
      <w:r>
        <w:rPr>
          <w:sz w:val="20"/>
        </w:rPr>
        <w:tab/>
        <w:t xml:space="preserve">Initially, the </w:t>
      </w:r>
      <w:r>
        <w:rPr>
          <w:b/>
          <w:sz w:val="20"/>
        </w:rPr>
        <w:t>Custodian</w:t>
      </w:r>
      <w:r>
        <w:rPr>
          <w:sz w:val="20"/>
        </w:rPr>
        <w:t xml:space="preserve"> for Party A is N/A...........................................................................................</w:t>
      </w:r>
    </w:p>
    <w:p>
      <w:pPr>
        <w:pStyle w:val="Normal"/>
        <w:rPr>
          <w:sz w:val="20"/>
        </w:rPr>
      </w:pPr>
      <w:r>
        <w:rPr>
          <w:sz w:val="20"/>
        </w:rPr>
        <w:tab/>
      </w:r>
    </w:p>
    <w:p>
      <w:pPr>
        <w:pStyle w:val="Normal"/>
        <w:spacing w:lineRule="auto" w:line="360"/>
        <w:ind w:start="720" w:end="0"/>
        <w:jc w:val="both"/>
        <w:rPr/>
      </w:pPr>
      <w:r>
        <w:rPr>
          <w:sz w:val="20"/>
        </w:rPr>
        <w:t xml:space="preserve">Party B and its Custodian will be entitled to hold Posted Collateral pursuant to Paragraph 6(b); </w:t>
      </w:r>
      <w:r>
        <w:rPr>
          <w:i/>
          <w:sz w:val="20"/>
        </w:rPr>
        <w:t>provided</w:t>
      </w:r>
      <w:r>
        <w:rPr>
          <w:sz w:val="20"/>
        </w:rPr>
        <w:t xml:space="preserve"> that the following conditions applicable to it are satisfied:</w:t>
      </w:r>
    </w:p>
    <w:p>
      <w:pPr>
        <w:pStyle w:val="Normal"/>
        <w:numPr>
          <w:ilvl w:val="0"/>
          <w:numId w:val="11"/>
        </w:numPr>
        <w:rPr>
          <w:sz w:val="20"/>
        </w:rPr>
      </w:pPr>
      <w:r>
        <w:rPr>
          <w:sz w:val="20"/>
        </w:rPr>
        <w:t>Party B is not a Defaulting Party.</w:t>
      </w:r>
    </w:p>
    <w:p>
      <w:pPr>
        <w:pStyle w:val="Normal"/>
        <w:numPr>
          <w:ilvl w:val="0"/>
          <w:numId w:val="0"/>
        </w:numPr>
        <w:ind w:hanging="0" w:start="1440" w:end="0"/>
        <w:rPr>
          <w:sz w:val="20"/>
        </w:rPr>
      </w:pPr>
      <w:r>
        <w:rPr>
          <w:sz w:val="20"/>
        </w:rPr>
      </w:r>
    </w:p>
    <w:p>
      <w:pPr>
        <w:pStyle w:val="Normal"/>
        <w:numPr>
          <w:ilvl w:val="0"/>
          <w:numId w:val="11"/>
        </w:numPr>
        <w:rPr>
          <w:sz w:val="20"/>
        </w:rPr>
      </w:pPr>
      <w:r>
        <w:rPr>
          <w:sz w:val="20"/>
        </w:rPr>
        <w:t>Posted Collateral may be held only in the following jurisdictions: United States.............</w:t>
      </w:r>
    </w:p>
    <w:p>
      <w:pPr>
        <w:pStyle w:val="Normal"/>
        <w:rPr>
          <w:sz w:val="20"/>
        </w:rPr>
      </w:pPr>
      <w:r>
        <w:rPr>
          <w:sz w:val="20"/>
        </w:rPr>
        <w:tab/>
      </w:r>
    </w:p>
    <w:p>
      <w:pPr>
        <w:pStyle w:val="Normal"/>
        <w:ind w:firstLine="720" w:end="0"/>
        <w:rPr/>
      </w:pPr>
      <w:r>
        <w:rPr>
          <w:sz w:val="20"/>
        </w:rPr>
        <w:t xml:space="preserve">Initially, the </w:t>
      </w:r>
      <w:r>
        <w:rPr>
          <w:b/>
          <w:sz w:val="20"/>
        </w:rPr>
        <w:t xml:space="preserve">Custodian </w:t>
      </w:r>
      <w:r>
        <w:rPr>
          <w:sz w:val="20"/>
        </w:rPr>
        <w:t>for Party B is.................................................................................................</w:t>
      </w:r>
    </w:p>
    <w:p>
      <w:pPr>
        <w:pStyle w:val="Normal"/>
        <w:ind w:firstLine="720" w:end="0"/>
        <w:rPr>
          <w:sz w:val="20"/>
        </w:rPr>
      </w:pPr>
      <w:r>
        <w:rPr>
          <w:sz w:val="20"/>
        </w:rPr>
      </w:r>
    </w:p>
    <w:p>
      <w:pPr>
        <w:pStyle w:val="Normal"/>
        <w:numPr>
          <w:ilvl w:val="0"/>
          <w:numId w:val="12"/>
        </w:numPr>
        <w:spacing w:lineRule="auto" w:line="360"/>
        <w:rPr>
          <w:sz w:val="20"/>
        </w:rPr>
      </w:pPr>
      <w:r>
        <w:rPr>
          <w:b/>
          <w:i/>
          <w:sz w:val="20"/>
        </w:rPr>
        <w:t>Use of Posted Collateral</w:t>
      </w:r>
      <w:r>
        <w:rPr>
          <w:i/>
          <w:sz w:val="20"/>
        </w:rPr>
        <w:t>.</w:t>
      </w:r>
      <w:r>
        <w:rPr>
          <w:sz w:val="20"/>
        </w:rPr>
        <w:t xml:space="preserve"> The provisions of Paragraph 6(c) will apply to Party A and       </w:t>
      </w:r>
    </w:p>
    <w:p>
      <w:pPr>
        <w:pStyle w:val="Normal"/>
        <w:spacing w:lineRule="auto" w:line="360"/>
        <w:ind w:start="1080" w:end="0"/>
        <w:rPr>
          <w:b/>
          <w:i/>
          <w:i/>
          <w:sz w:val="20"/>
        </w:rPr>
      </w:pPr>
      <w:r>
        <w:rPr>
          <w:sz w:val="20"/>
        </w:rPr>
        <w:t>will apply to Party B unless and until the credit rating of such Party or its Credit Support Provider, as the case may be, falls below Baa3 (Moody’s) or BBB (S&amp;P), and thereafter the provisions of Paragraph 6(c) will not apply to such Party.</w:t>
      </w:r>
    </w:p>
    <w:p>
      <w:pPr>
        <w:pStyle w:val="Normal"/>
        <w:spacing w:lineRule="auto" w:line="360"/>
        <w:ind w:start="1080" w:end="0"/>
        <w:rPr>
          <w:b/>
          <w:i/>
          <w:i/>
          <w:sz w:val="20"/>
          <w:vertAlign w:val="superscript"/>
        </w:rPr>
      </w:pPr>
      <w:r>
        <w:rPr>
          <w:b/>
          <w:i/>
          <w:sz w:val="20"/>
          <w:vertAlign w:val="superscript"/>
        </w:rPr>
      </w:r>
    </w:p>
    <w:p>
      <w:pPr>
        <w:pStyle w:val="Normal"/>
        <w:numPr>
          <w:ilvl w:val="0"/>
          <w:numId w:val="7"/>
        </w:numPr>
        <w:rPr>
          <w:sz w:val="20"/>
        </w:rPr>
      </w:pPr>
      <w:r>
        <w:rPr>
          <w:b/>
          <w:i/>
          <w:sz w:val="20"/>
        </w:rPr>
        <w:t>Distributions and Interest Amount</w:t>
      </w:r>
      <w:r>
        <w:rPr>
          <w:sz w:val="20"/>
        </w:rPr>
        <w:t>.</w:t>
      </w:r>
    </w:p>
    <w:p>
      <w:pPr>
        <w:pStyle w:val="Normal"/>
        <w:ind w:start="90" w:end="0"/>
        <w:rPr>
          <w:sz w:val="20"/>
        </w:rPr>
      </w:pPr>
      <w:r>
        <w:rPr>
          <w:sz w:val="20"/>
        </w:rPr>
      </w:r>
    </w:p>
    <w:p>
      <w:pPr>
        <w:pStyle w:val="Normal"/>
        <w:numPr>
          <w:ilvl w:val="0"/>
          <w:numId w:val="26"/>
        </w:numPr>
        <w:spacing w:lineRule="auto" w:line="360"/>
        <w:jc w:val="both"/>
        <w:rPr>
          <w:sz w:val="20"/>
        </w:rPr>
      </w:pPr>
      <w:r>
        <w:rPr>
          <w:b/>
          <w:i/>
          <w:sz w:val="20"/>
        </w:rPr>
        <w:t>Interest Rate</w:t>
      </w:r>
      <w:r>
        <w:rPr>
          <w:sz w:val="20"/>
        </w:rPr>
        <w:t xml:space="preserve">.  The </w:t>
      </w:r>
      <w:r>
        <w:rPr>
          <w:b/>
          <w:i/>
          <w:sz w:val="20"/>
        </w:rPr>
        <w:t>“Interest Rate”</w:t>
      </w:r>
      <w:r>
        <w:rPr>
          <w:sz w:val="20"/>
        </w:rPr>
        <w:t xml:space="preserve"> will be, for any day, the London Interbank Offered Rate for overnight deposits published opposite the caption “O/N” under the heading “Euro-Dollar” in the “Ask” column on Telerate screen page 314 for the relevant day at approximately 11:00 a.m., London time, on that day, or, if that rate is unavailable, the overnight offered rate for deposits for value on that day quoted by a reference bank selected in good faith by the Secured Party required to pay the relevant Interest Amount from the major banks at the time participating in the London interbank market.</w:t>
      </w:r>
    </w:p>
    <w:p>
      <w:pPr>
        <w:pStyle w:val="Normal"/>
        <w:numPr>
          <w:ilvl w:val="0"/>
          <w:numId w:val="0"/>
        </w:numPr>
        <w:ind w:hanging="0" w:start="450" w:end="0"/>
        <w:rPr>
          <w:sz w:val="20"/>
        </w:rPr>
      </w:pPr>
      <w:r>
        <w:rPr>
          <w:sz w:val="20"/>
        </w:rPr>
      </w:r>
    </w:p>
    <w:p>
      <w:pPr>
        <w:pStyle w:val="Normal"/>
        <w:numPr>
          <w:ilvl w:val="0"/>
          <w:numId w:val="26"/>
        </w:numPr>
        <w:spacing w:lineRule="auto" w:line="360"/>
        <w:jc w:val="both"/>
        <w:rPr>
          <w:sz w:val="20"/>
        </w:rPr>
      </w:pPr>
      <w:r>
        <w:rPr>
          <w:b/>
          <w:i/>
          <w:sz w:val="20"/>
        </w:rPr>
        <w:t>Transfer of Interest Amount</w:t>
      </w:r>
      <w:r>
        <w:rPr>
          <w:sz w:val="20"/>
        </w:rPr>
        <w:t>.  The Transfer of the Interest Amount will be made on the last Local Business Day of each calendar month and on any Local Business Day that Posted Collateral in the form of Cash is Transferred to the Pledgor pursuant to Paragraph 3(b).</w:t>
      </w:r>
    </w:p>
    <w:p>
      <w:pPr>
        <w:pStyle w:val="Normal"/>
        <w:numPr>
          <w:ilvl w:val="0"/>
          <w:numId w:val="0"/>
        </w:numPr>
        <w:ind w:hanging="0" w:start="450" w:end="0"/>
        <w:rPr>
          <w:sz w:val="20"/>
        </w:rPr>
      </w:pPr>
      <w:r>
        <w:rPr>
          <w:sz w:val="20"/>
        </w:rPr>
      </w:r>
    </w:p>
    <w:p>
      <w:pPr>
        <w:pStyle w:val="Normal"/>
        <w:numPr>
          <w:ilvl w:val="0"/>
          <w:numId w:val="26"/>
        </w:numPr>
        <w:spacing w:lineRule="auto" w:line="480"/>
        <w:rPr>
          <w:sz w:val="20"/>
        </w:rPr>
      </w:pPr>
      <w:r>
        <w:rPr>
          <w:b/>
          <w:i/>
          <w:sz w:val="20"/>
        </w:rPr>
        <w:t>Alternative to Interest Amount</w:t>
      </w:r>
      <w:r>
        <w:rPr>
          <w:sz w:val="20"/>
        </w:rPr>
        <w:t>.  The provisions of Paragraph 6(d)(ii) will apply.</w:t>
      </w:r>
    </w:p>
    <w:p>
      <w:pPr>
        <w:pStyle w:val="Normal"/>
        <w:ind w:start="450" w:end="0"/>
        <w:rPr>
          <w:sz w:val="20"/>
        </w:rPr>
      </w:pPr>
      <w:r>
        <w:rPr>
          <w:sz w:val="20"/>
        </w:rPr>
      </w:r>
    </w:p>
    <w:p>
      <w:pPr>
        <w:pStyle w:val="Normal"/>
        <w:numPr>
          <w:ilvl w:val="0"/>
          <w:numId w:val="17"/>
        </w:numPr>
        <w:spacing w:lineRule="auto" w:line="480"/>
        <w:rPr>
          <w:i/>
          <w:i/>
          <w:sz w:val="20"/>
        </w:rPr>
      </w:pPr>
      <w:r>
        <w:rPr>
          <w:b/>
          <w:i/>
          <w:sz w:val="20"/>
        </w:rPr>
        <w:t>Additional Representation(s).</w:t>
      </w:r>
    </w:p>
    <w:p>
      <w:pPr>
        <w:pStyle w:val="BodyText"/>
        <w:ind w:start="360" w:end="0"/>
        <w:rPr/>
      </w:pPr>
      <w:r>
        <w:rPr/>
        <w:t xml:space="preserve">Party A and Party B further represent to each other (which representations will be deemed to be repeated as of each date on which Party A or Party B, as the Pledgor, Transfers Eligible Collateral) that their respective representations set forth in Section 3 of this Agreement are true and correct and that it owns good and marketable title to the Eligible Collateral that it transfers free and clear of any encumbrances. </w:t>
      </w:r>
    </w:p>
    <w:p>
      <w:pPr>
        <w:pStyle w:val="BodyText"/>
        <w:rPr/>
      </w:pPr>
      <w:r>
        <w:rPr/>
      </w:r>
    </w:p>
    <w:p>
      <w:pPr>
        <w:pStyle w:val="Normal"/>
        <w:numPr>
          <w:ilvl w:val="0"/>
          <w:numId w:val="19"/>
        </w:numPr>
        <w:ind w:hanging="360" w:start="360" w:end="0"/>
        <w:rPr>
          <w:b/>
          <w:i/>
          <w:i/>
          <w:sz w:val="20"/>
        </w:rPr>
      </w:pPr>
      <w:r>
        <w:rPr>
          <w:b/>
          <w:i/>
          <w:sz w:val="20"/>
        </w:rPr>
        <w:t>Other Eligible Support and Other Posted Support.</w:t>
      </w:r>
    </w:p>
    <w:p>
      <w:pPr>
        <w:pStyle w:val="Normal"/>
        <w:ind w:start="90" w:end="0"/>
        <w:rPr>
          <w:b/>
          <w:i/>
          <w:i/>
          <w:sz w:val="20"/>
        </w:rPr>
      </w:pPr>
      <w:r>
        <w:rPr>
          <w:b/>
          <w:i/>
          <w:sz w:val="20"/>
        </w:rPr>
      </w:r>
    </w:p>
    <w:p>
      <w:pPr>
        <w:pStyle w:val="Normal"/>
        <w:numPr>
          <w:ilvl w:val="0"/>
          <w:numId w:val="13"/>
        </w:numPr>
        <w:spacing w:lineRule="auto" w:line="360"/>
        <w:rPr>
          <w:b/>
          <w:i/>
          <w:i/>
          <w:sz w:val="20"/>
        </w:rPr>
      </w:pPr>
      <w:r>
        <w:rPr>
          <w:b/>
          <w:i/>
          <w:sz w:val="20"/>
        </w:rPr>
        <w:t>“</w:t>
      </w:r>
      <w:r>
        <w:rPr>
          <w:b/>
          <w:i/>
          <w:sz w:val="20"/>
        </w:rPr>
        <w:t>Value”</w:t>
      </w:r>
      <w:r>
        <w:rPr>
          <w:sz w:val="20"/>
        </w:rPr>
        <w:t xml:space="preserve"> with respect to Other Eligible Support and Other Posted Support means in the case of </w:t>
      </w:r>
    </w:p>
    <w:p>
      <w:pPr>
        <w:pStyle w:val="Normal"/>
        <w:spacing w:lineRule="auto" w:line="480"/>
        <w:ind w:firstLine="270" w:start="450" w:end="0"/>
        <w:rPr/>
      </w:pPr>
      <w:r>
        <w:rPr>
          <w:rFonts w:eastAsia="Arial"/>
          <w:b/>
          <w:i/>
          <w:sz w:val="20"/>
        </w:rPr>
        <w:t xml:space="preserve"> </w:t>
      </w:r>
      <w:r>
        <w:rPr>
          <w:sz w:val="20"/>
        </w:rPr>
        <w:t>Commercial Letters of Credit, 100% of the face amount.</w:t>
      </w:r>
    </w:p>
    <w:p>
      <w:pPr>
        <w:pStyle w:val="Normal"/>
        <w:numPr>
          <w:ilvl w:val="0"/>
          <w:numId w:val="13"/>
        </w:numPr>
        <w:spacing w:lineRule="auto" w:line="360"/>
        <w:jc w:val="both"/>
        <w:rPr>
          <w:sz w:val="20"/>
        </w:rPr>
      </w:pPr>
      <w:r>
        <w:rPr>
          <w:b/>
          <w:i/>
          <w:sz w:val="20"/>
        </w:rPr>
        <w:t>“</w:t>
      </w:r>
      <w:r>
        <w:rPr>
          <w:b/>
          <w:i/>
          <w:sz w:val="20"/>
        </w:rPr>
        <w:t>Transfer”</w:t>
      </w:r>
      <w:r>
        <w:rPr>
          <w:sz w:val="20"/>
        </w:rPr>
        <w:t xml:space="preserve"> with respect to Other Eligible Support and Other Posted Support means the delivery of a Letter of Credit.  In the case of the return of Posted Collateral with respect to a Letter of Credit by the Secured Party to the Pledgor, the Secured Party will return the Letter of Credit and agree to its cancellation if the amount of Posted Collateral to be returned is equal to the entire face amount of the letter of Credit, and if less than the entire face amount of the Letter of Credit is to be returned, so that to effect the return the face amount of the Letter of Credit must be reduced, the Secured Party will agree to the reduction and will cooperate in authorizing the bank that issued the Letter of Credit to issue a new Letter of Credit in a lower amount.</w:t>
      </w:r>
    </w:p>
    <w:p>
      <w:pPr>
        <w:pStyle w:val="Normal"/>
        <w:ind w:start="450" w:end="0"/>
        <w:rPr>
          <w:sz w:val="20"/>
        </w:rPr>
      </w:pPr>
      <w:r>
        <w:rPr>
          <w:sz w:val="20"/>
        </w:rPr>
      </w:r>
    </w:p>
    <w:p>
      <w:pPr>
        <w:pStyle w:val="Normal"/>
        <w:numPr>
          <w:ilvl w:val="0"/>
          <w:numId w:val="25"/>
        </w:numPr>
        <w:spacing w:lineRule="auto" w:line="360"/>
        <w:rPr/>
      </w:pPr>
      <w:r>
        <w:rPr>
          <w:b/>
          <w:i/>
          <w:sz w:val="20"/>
        </w:rPr>
        <w:t xml:space="preserve">Demands and Notices.  </w:t>
      </w:r>
      <w:r>
        <w:rPr/>
        <w:t>All demands, specifications and notices under this Annex will be made pursuant to Part 4 of the Schedule to this Agreement.</w:t>
      </w:r>
    </w:p>
    <w:p>
      <w:pPr>
        <w:pStyle w:val="Header"/>
        <w:tabs>
          <w:tab w:val="clear" w:pos="4320"/>
          <w:tab w:val="clear" w:pos="8640"/>
        </w:tabs>
        <w:rPr/>
      </w:pPr>
      <w:r>
        <w:rPr/>
      </w:r>
    </w:p>
    <w:p>
      <w:pPr>
        <w:pStyle w:val="Normal"/>
        <w:numPr>
          <w:ilvl w:val="0"/>
          <w:numId w:val="25"/>
        </w:numPr>
        <w:spacing w:lineRule="auto" w:line="360"/>
        <w:rPr>
          <w:sz w:val="20"/>
        </w:rPr>
      </w:pPr>
      <w:r>
        <w:rPr>
          <w:b/>
          <w:i/>
          <w:sz w:val="20"/>
        </w:rPr>
        <w:t xml:space="preserve">Addresses for Transfers.   </w:t>
      </w:r>
      <w:r>
        <w:rPr>
          <w:sz w:val="20"/>
        </w:rPr>
        <w:t>All transfers under this Annex will be made pursuant to the Account Section of this Agreement.</w:t>
      </w:r>
    </w:p>
    <w:p>
      <w:pPr>
        <w:pStyle w:val="Normal"/>
        <w:spacing w:lineRule="auto" w:line="360"/>
        <w:rPr>
          <w:sz w:val="20"/>
        </w:rPr>
      </w:pPr>
      <w:r>
        <w:rPr>
          <w:sz w:val="20"/>
        </w:rPr>
      </w:r>
    </w:p>
    <w:p>
      <w:pPr>
        <w:pStyle w:val="Normal"/>
        <w:numPr>
          <w:ilvl w:val="0"/>
          <w:numId w:val="6"/>
        </w:numPr>
        <w:spacing w:lineRule="auto" w:line="360"/>
        <w:rPr>
          <w:sz w:val="20"/>
        </w:rPr>
      </w:pPr>
      <w:r>
        <w:rPr>
          <w:b/>
          <w:i/>
          <w:sz w:val="20"/>
        </w:rPr>
        <w:t>Other Provisions</w:t>
      </w:r>
      <w:r>
        <w:rPr>
          <w:sz w:val="20"/>
        </w:rPr>
        <w:t>.</w:t>
        <w:tab/>
      </w:r>
    </w:p>
    <w:p>
      <w:pPr>
        <w:pStyle w:val="Normal"/>
        <w:numPr>
          <w:ilvl w:val="0"/>
          <w:numId w:val="7"/>
        </w:numPr>
        <w:spacing w:lineRule="auto" w:line="480"/>
        <w:ind w:hanging="360" w:start="720" w:end="0"/>
        <w:jc w:val="both"/>
        <w:rPr>
          <w:sz w:val="20"/>
        </w:rPr>
      </w:pPr>
      <w:r>
        <w:rPr>
          <w:b/>
          <w:sz w:val="20"/>
        </w:rPr>
        <w:t>Modification of Paragraph 4(b) of the Annex</w:t>
      </w:r>
      <w:r>
        <w:rPr>
          <w:b/>
          <w:i/>
          <w:sz w:val="20"/>
        </w:rPr>
        <w:t xml:space="preserve">.  </w:t>
      </w:r>
      <w:r>
        <w:rPr>
          <w:sz w:val="20"/>
        </w:rPr>
        <w:t xml:space="preserve">Paragraph 4(b) of the Annex is amended to read, in its entirety, as follows: </w:t>
      </w:r>
    </w:p>
    <w:p>
      <w:pPr>
        <w:pStyle w:val="Normal"/>
        <w:numPr>
          <w:ilvl w:val="0"/>
          <w:numId w:val="28"/>
        </w:numPr>
        <w:spacing w:lineRule="auto" w:line="360"/>
        <w:ind w:hanging="360" w:start="1080" w:end="0"/>
        <w:jc w:val="both"/>
        <w:rPr>
          <w:sz w:val="20"/>
        </w:rPr>
      </w:pPr>
      <w:r>
        <w:rPr>
          <w:b/>
          <w:i/>
          <w:sz w:val="20"/>
        </w:rPr>
        <w:t>Transfer Timing.</w:t>
      </w:r>
      <w:r>
        <w:rPr>
          <w:sz w:val="20"/>
        </w:rPr>
        <w:t xml:space="preserve">  Subject to Paragraphs 4(a) and 5 and unless otherwise specified, (i) if a demand for Transfer of Eligible Credit Support or Posted Credit Support is made by the Notification Time, then the Transfer of Eligible Credit Support or Posted Credit Support will be completed prior to 5:00 p.m., New York time, on the Local Business Day following the Local Business Day on which the demand is made, (ii) if a demand for Transfer of Eligible Credit Support or Posted Credit Support is made by the Notification Time with respect to a foreign currency exchange Transaction, such Transfer shall be completed prior to 5:00 p.m., New York time, on the third (3</w:t>
      </w:r>
      <w:r>
        <w:rPr>
          <w:sz w:val="20"/>
          <w:vertAlign w:val="superscript"/>
        </w:rPr>
        <w:t>rd</w:t>
      </w:r>
      <w:r>
        <w:rPr>
          <w:sz w:val="20"/>
        </w:rPr>
        <w:t xml:space="preserve">) Local Business Day following the Local Business Day on which the demand and (iii) if a demand for Transfer of Eligible Credit Support or Posted Credit Support is made subsequent to the Notification Time, then the relevant Transfer will be made in accordance with the rules provided in the immediately preceding subparagraphs (i) and (ii), </w:t>
      </w:r>
      <w:r>
        <w:rPr>
          <w:sz w:val="20"/>
          <w:u w:val="single"/>
        </w:rPr>
        <w:t>except that</w:t>
      </w:r>
      <w:r>
        <w:rPr>
          <w:sz w:val="20"/>
        </w:rPr>
        <w:t xml:space="preserve"> the demand will be treated as if made on the Local Business Day following the day the demand was actually made.</w:t>
      </w:r>
    </w:p>
    <w:p>
      <w:pPr>
        <w:pStyle w:val="Normal"/>
        <w:ind w:start="720" w:end="0"/>
        <w:jc w:val="both"/>
        <w:rPr>
          <w:sz w:val="20"/>
        </w:rPr>
      </w:pPr>
      <w:r>
        <w:rPr>
          <w:sz w:val="20"/>
        </w:rPr>
      </w:r>
    </w:p>
    <w:p>
      <w:pPr>
        <w:pStyle w:val="Normal"/>
        <w:numPr>
          <w:ilvl w:val="0"/>
          <w:numId w:val="17"/>
        </w:numPr>
        <w:spacing w:lineRule="auto" w:line="480"/>
        <w:ind w:hanging="360" w:start="720" w:end="0"/>
        <w:jc w:val="both"/>
        <w:rPr>
          <w:sz w:val="20"/>
        </w:rPr>
      </w:pPr>
      <w:r>
        <w:rPr>
          <w:b/>
          <w:sz w:val="20"/>
        </w:rPr>
        <w:t>Notice of Interest Amount.</w:t>
      </w:r>
      <w:r>
        <w:rPr>
          <w:sz w:val="20"/>
        </w:rPr>
        <w:t xml:space="preserve">  A notice of the Interest Amount due Pledgor (or a statement that no </w:t>
      </w:r>
    </w:p>
    <w:p>
      <w:pPr>
        <w:pStyle w:val="BodyTextIndent3"/>
        <w:spacing w:lineRule="auto" w:line="480"/>
        <w:rPr/>
      </w:pPr>
      <w:r>
        <w:rPr/>
        <w:t>such interest is due) shall be delivered to the Pledgor from the Secured Party on the Last   Business Day of each calendar month that Posted Collateral in the form of Cash is being held by the Secured Party.</w:t>
      </w:r>
    </w:p>
    <w:p>
      <w:pPr>
        <w:pStyle w:val="BodyTextIndent3"/>
        <w:spacing w:lineRule="auto" w:line="240"/>
        <w:rPr/>
      </w:pPr>
      <w:r>
        <w:rPr/>
      </w:r>
    </w:p>
    <w:p>
      <w:pPr>
        <w:pStyle w:val="Normal"/>
        <w:spacing w:lineRule="auto" w:line="480"/>
        <w:ind w:start="450" w:end="0"/>
        <w:jc w:val="both"/>
        <w:rPr/>
      </w:pPr>
      <w:r>
        <w:rPr>
          <w:b/>
          <w:sz w:val="20"/>
        </w:rPr>
        <w:t xml:space="preserve">IN WITNESS WHEREOF, </w:t>
      </w:r>
      <w:r>
        <w:rPr>
          <w:sz w:val="20"/>
        </w:rPr>
        <w:t>the parties have executed this document by their duly authorized officers as of the date hereof.</w:t>
      </w:r>
    </w:p>
    <w:p>
      <w:pPr>
        <w:pStyle w:val="Normal"/>
        <w:spacing w:lineRule="auto" w:line="480"/>
        <w:ind w:start="450" w:end="0"/>
        <w:jc w:val="both"/>
        <w:rPr>
          <w:b/>
          <w:sz w:val="20"/>
        </w:rPr>
      </w:pPr>
      <w:r>
        <w:rPr>
          <w:b/>
          <w:sz w:val="20"/>
        </w:rPr>
      </w:r>
    </w:p>
    <w:p>
      <w:pPr>
        <w:pStyle w:val="Normal"/>
        <w:spacing w:lineRule="auto" w:line="480"/>
        <w:ind w:start="450" w:end="0"/>
        <w:jc w:val="both"/>
        <w:rPr>
          <w:b/>
          <w:sz w:val="20"/>
        </w:rPr>
      </w:pPr>
      <w:r>
        <w:rPr>
          <w:b/>
          <w:sz w:val="20"/>
        </w:rPr>
        <w:tab/>
        <w:tab/>
        <w:tab/>
        <w:tab/>
        <w:tab/>
        <w:t>NEW YORK STATE ELECTRIC &amp; GAS CORPORATION</w:t>
      </w:r>
    </w:p>
    <w:p>
      <w:pPr>
        <w:pStyle w:val="Normal"/>
        <w:spacing w:lineRule="auto" w:line="480"/>
        <w:ind w:start="450" w:end="0"/>
        <w:jc w:val="both"/>
        <w:rPr>
          <w:b/>
          <w:sz w:val="20"/>
        </w:rPr>
      </w:pPr>
      <w:r>
        <w:rPr>
          <w:b/>
          <w:sz w:val="20"/>
        </w:rPr>
      </w:r>
    </w:p>
    <w:p>
      <w:pPr>
        <w:pStyle w:val="Normal"/>
        <w:jc w:val="both"/>
        <w:rPr/>
      </w:pPr>
      <w:r>
        <w:rPr>
          <w:b/>
          <w:sz w:val="20"/>
        </w:rPr>
        <w:tab/>
        <w:tab/>
        <w:tab/>
        <w:tab/>
        <w:tab/>
      </w:r>
      <w:r>
        <w:rPr>
          <w:sz w:val="20"/>
        </w:rPr>
        <w:t>By:___________________________________________</w:t>
      </w:r>
    </w:p>
    <w:p>
      <w:pPr>
        <w:pStyle w:val="Normal"/>
        <w:jc w:val="both"/>
        <w:rPr>
          <w:sz w:val="20"/>
        </w:rPr>
      </w:pPr>
      <w:r>
        <w:rPr>
          <w:sz w:val="20"/>
        </w:rPr>
        <w:tab/>
        <w:tab/>
        <w:tab/>
        <w:tab/>
        <w:tab/>
        <w:t>Denis E. Wickham – Senior Vice President</w:t>
      </w:r>
    </w:p>
    <w:p>
      <w:pPr>
        <w:pStyle w:val="Normal"/>
        <w:spacing w:lineRule="auto" w:line="480"/>
        <w:jc w:val="both"/>
        <w:rPr>
          <w:sz w:val="20"/>
        </w:rPr>
      </w:pPr>
      <w:r>
        <w:rPr>
          <w:sz w:val="20"/>
        </w:rPr>
        <w:tab/>
        <w:tab/>
        <w:tab/>
        <w:tab/>
        <w:tab/>
        <w:tab/>
        <w:tab/>
        <w:t xml:space="preserve">        Energy Operating Services</w:t>
      </w:r>
    </w:p>
    <w:p>
      <w:pPr>
        <w:pStyle w:val="Normal"/>
        <w:spacing w:lineRule="auto" w:line="480"/>
        <w:jc w:val="both"/>
        <w:rPr>
          <w:sz w:val="20"/>
        </w:rPr>
      </w:pPr>
      <w:r>
        <w:rPr>
          <w:sz w:val="20"/>
        </w:rPr>
      </w:r>
    </w:p>
    <w:p>
      <w:pPr>
        <w:pStyle w:val="Normal"/>
        <w:spacing w:lineRule="auto" w:line="480"/>
        <w:jc w:val="both"/>
        <w:rPr/>
      </w:pPr>
      <w:r>
        <w:rPr>
          <w:sz w:val="20"/>
        </w:rPr>
        <w:tab/>
        <w:tab/>
        <w:tab/>
        <w:tab/>
        <w:tab/>
      </w:r>
      <w:r>
        <w:rPr>
          <w:b/>
          <w:sz w:val="20"/>
        </w:rPr>
        <w:t>(COUNTERPARTY)</w:t>
      </w:r>
    </w:p>
    <w:p>
      <w:pPr>
        <w:pStyle w:val="Normal"/>
        <w:spacing w:lineRule="auto" w:line="480"/>
        <w:jc w:val="both"/>
        <w:rPr>
          <w:sz w:val="20"/>
        </w:rPr>
      </w:pPr>
      <w:r>
        <w:rPr>
          <w:sz w:val="20"/>
        </w:rPr>
        <w:tab/>
        <w:tab/>
        <w:tab/>
        <w:tab/>
        <w:tab/>
        <w:t>By: __________________________________________</w:t>
      </w:r>
    </w:p>
    <w:p>
      <w:pPr>
        <w:pStyle w:val="Normal"/>
        <w:spacing w:lineRule="auto" w:line="480"/>
        <w:jc w:val="both"/>
        <w:rPr>
          <w:sz w:val="20"/>
        </w:rPr>
      </w:pPr>
      <w:r>
        <w:rPr>
          <w:sz w:val="20"/>
        </w:rPr>
        <w:tab/>
        <w:tab/>
        <w:tab/>
        <w:tab/>
        <w:tab/>
        <w:t>Name: _______________________________________</w:t>
      </w:r>
    </w:p>
    <w:p>
      <w:pPr>
        <w:pStyle w:val="Normal"/>
        <w:spacing w:lineRule="auto" w:line="480"/>
        <w:jc w:val="both"/>
        <w:rPr>
          <w:sz w:val="20"/>
        </w:rPr>
      </w:pPr>
      <w:r>
        <w:rPr>
          <w:sz w:val="20"/>
        </w:rPr>
        <w:tab/>
        <w:tab/>
        <w:tab/>
        <w:tab/>
        <w:tab/>
        <w:t>Title: _________________________________________</w:t>
      </w:r>
    </w:p>
    <w:p>
      <w:pPr>
        <w:pStyle w:val="Normal"/>
        <w:spacing w:lineRule="auto" w:line="480"/>
        <w:jc w:val="both"/>
        <w:rPr>
          <w:sz w:val="20"/>
        </w:rPr>
      </w:pPr>
      <w:r>
        <w:rPr>
          <w:sz w:val="20"/>
        </w:rPr>
      </w:r>
    </w:p>
    <w:p>
      <w:pPr>
        <w:pStyle w:val="Normal"/>
        <w:spacing w:lineRule="auto" w:line="480"/>
        <w:jc w:val="both"/>
        <w:rPr>
          <w:sz w:val="20"/>
        </w:rPr>
      </w:pPr>
      <w:r>
        <w:rPr>
          <w:sz w:val="20"/>
        </w:rPr>
      </w:r>
    </w:p>
    <w:p>
      <w:pPr>
        <w:pStyle w:val="Normal"/>
        <w:spacing w:lineRule="auto" w:line="480"/>
        <w:jc w:val="both"/>
        <w:rPr/>
      </w:pPr>
      <w:r>
        <w:rPr>
          <w:sz w:val="12"/>
        </w:rPr>
        <w:fldChar w:fldCharType="begin"/>
      </w:r>
      <w:r>
        <w:rPr>
          <w:sz w:val="12"/>
        </w:rPr>
        <w:instrText xml:space="preserve"> FILENAME \p </w:instrText>
      </w:r>
      <w:r>
        <w:rPr>
          <w:sz w:val="12"/>
        </w:rPr>
        <w:fldChar w:fldCharType="separate"/>
      </w:r>
      <w:r>
        <w:rPr>
          <w:sz w:val="12"/>
        </w:rPr>
        <w:t>/mnt/main-storage/datasets/enron-docs/doc/CREDITnyseg0600r.DOC</w:t>
      </w:r>
      <w:r>
        <w:rPr>
          <w:sz w:val="12"/>
        </w:rPr>
        <w:fldChar w:fldCharType="end"/>
      </w:r>
      <w:r>
        <w:rPr>
          <w:sz w:val="12"/>
        </w:rPr>
        <w:tab/>
        <w:tab/>
        <w:tab/>
        <w:tab/>
        <w:tab/>
        <w:tab/>
      </w: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sectPr>
      <w:footerReference w:type="default" r:id="rId2"/>
      <w:type w:val="nextPage"/>
      <w:pgSz w:w="12240" w:h="15840"/>
      <w:pgMar w:left="1440" w:right="1440" w:gutter="0" w:header="0" w:top="1152" w:footer="720" w:bottom="1152"/>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56210"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156210"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3pt;height:13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
      <w:lvlJc w:val="start"/>
      <w:pPr>
        <w:tabs>
          <w:tab w:val="num" w:pos="360"/>
        </w:tabs>
        <w:ind w:start="360" w:hanging="360"/>
      </w:pPr>
      <w:rPr>
        <w:sz w:val="22"/>
        <w:i w:val="false"/>
        <w:u w:val="none"/>
        <w:b w:val="false"/>
        <w:rFonts w:ascii="Arial" w:hAnsi="Arial" w:cs="Arial"/>
      </w:rPr>
    </w:lvl>
  </w:abstractNum>
  <w:abstractNum w:abstractNumId="3">
    <w:lvl w:ilvl="0">
      <w:start w:val="4"/>
      <w:numFmt w:val="lowerLetter"/>
      <w:lvlText w:val="(%1) "/>
      <w:lvlJc w:val="start"/>
      <w:pPr>
        <w:tabs>
          <w:tab w:val="num" w:pos="360"/>
        </w:tabs>
        <w:ind w:start="360" w:hanging="360"/>
      </w:pPr>
      <w:rPr>
        <w:sz w:val="20"/>
        <w:i w:val="false"/>
        <w:u w:val="none"/>
        <w:b w:val="false"/>
        <w:rFonts w:ascii="Arial" w:hAnsi="Arial" w:cs="Arial"/>
      </w:rPr>
    </w:lvl>
  </w:abstractNum>
  <w:abstractNum w:abstractNumId="4">
    <w:lvl w:ilvl="0">
      <w:start w:val="3"/>
      <w:numFmt w:val="lowerLetter"/>
      <w:lvlText w:val="(%1) "/>
      <w:lvlJc w:val="start"/>
      <w:pPr>
        <w:tabs>
          <w:tab w:val="num" w:pos="360"/>
        </w:tabs>
        <w:ind w:start="360" w:hanging="360"/>
      </w:pPr>
      <w:rPr>
        <w:sz w:val="20"/>
        <w:i w:val="false"/>
        <w:u w:val="none"/>
        <w:b w:val="false"/>
        <w:rFonts w:ascii="Arial" w:hAnsi="Arial" w:cs="Arial"/>
      </w:rPr>
    </w:lvl>
  </w:abstractNum>
  <w:abstractNum w:abstractNumId="5">
    <w:lvl w:ilvl="0">
      <w:start w:val="1"/>
      <w:numFmt w:val="upperLetter"/>
      <w:lvlText w:val="(%1) "/>
      <w:lvlJc w:val="start"/>
      <w:pPr>
        <w:tabs>
          <w:tab w:val="num" w:pos="360"/>
        </w:tabs>
        <w:ind w:start="720" w:hanging="360"/>
      </w:pPr>
      <w:rPr>
        <w:sz w:val="20"/>
        <w:i w:val="false"/>
        <w:u w:val="none"/>
        <w:b w:val="false"/>
        <w:rFonts w:ascii="Arial" w:hAnsi="Arial" w:cs="Arial"/>
      </w:rPr>
    </w:lvl>
  </w:abstractNum>
  <w:abstractNum w:abstractNumId="6">
    <w:lvl w:ilvl="0">
      <w:start w:val="12"/>
      <w:numFmt w:val="lowerLetter"/>
      <w:lvlText w:val="(%1) "/>
      <w:lvlJc w:val="start"/>
      <w:pPr>
        <w:tabs>
          <w:tab w:val="num" w:pos="360"/>
        </w:tabs>
        <w:ind w:start="360" w:hanging="360"/>
      </w:pPr>
      <w:rPr>
        <w:sz w:val="20"/>
        <w:i w:val="false"/>
        <w:u w:val="none"/>
        <w:b w:val="false"/>
        <w:rFonts w:ascii="Arial" w:hAnsi="Arial" w:cs="Arial"/>
      </w:rPr>
    </w:lvl>
  </w:abstractNum>
  <w:abstractNum w:abstractNumId="7">
    <w:lvl w:ilvl="0">
      <w:start w:val="8"/>
      <w:numFmt w:val="lowerLetter"/>
      <w:lvlText w:val="(%1) "/>
      <w:lvlJc w:val="start"/>
      <w:pPr>
        <w:tabs>
          <w:tab w:val="num" w:pos="360"/>
        </w:tabs>
        <w:ind w:start="450" w:hanging="360"/>
      </w:pPr>
      <w:rPr>
        <w:sz w:val="20"/>
        <w:i w:val="false"/>
        <w:u w:val="none"/>
        <w:b w:val="false"/>
        <w:rFonts w:ascii="Arial" w:hAnsi="Arial" w:cs="Arial"/>
      </w:rPr>
    </w:lvl>
  </w:abstractNum>
  <w:abstractNum w:abstractNumId="8">
    <w:lvl w:ilvl="0">
      <w:start w:val="4"/>
      <w:numFmt w:val="upperLetter"/>
      <w:lvlText w:val="(%1) "/>
      <w:lvlJc w:val="start"/>
      <w:pPr>
        <w:tabs>
          <w:tab w:val="num" w:pos="360"/>
        </w:tabs>
        <w:ind w:start="720" w:hanging="360"/>
      </w:pPr>
      <w:rPr>
        <w:sz w:val="20"/>
        <w:i w:val="false"/>
        <w:u w:val="none"/>
        <w:b w:val="false"/>
        <w:rFonts w:ascii="Arial" w:hAnsi="Arial" w:cs="Arial"/>
      </w:rPr>
    </w:lvl>
  </w:abstractNum>
  <w:abstractNum w:abstractNumId="9">
    <w:lvl w:ilvl="0">
      <w:start w:val="1"/>
      <w:numFmt w:val="upperLetter"/>
      <w:lvlText w:val="(%1) "/>
      <w:lvlJc w:val="start"/>
      <w:pPr>
        <w:tabs>
          <w:tab w:val="num" w:pos="360"/>
        </w:tabs>
        <w:ind w:start="1080" w:hanging="360"/>
      </w:pPr>
      <w:rPr>
        <w:sz w:val="22"/>
        <w:i w:val="false"/>
        <w:u w:val="none"/>
        <w:b w:val="false"/>
        <w:rFonts w:ascii="Arial" w:hAnsi="Arial" w:cs="Arial"/>
      </w:rPr>
    </w:lvl>
  </w:abstractNum>
  <w:abstractNum w:abstractNumId="10">
    <w:lvl w:ilvl="0">
      <w:start w:val="1"/>
      <w:numFmt w:val="upperLetter"/>
      <w:lvlText w:val="(%1) "/>
      <w:lvlJc w:val="start"/>
      <w:pPr>
        <w:tabs>
          <w:tab w:val="num" w:pos="360"/>
        </w:tabs>
        <w:ind w:start="720" w:hanging="360"/>
      </w:pPr>
      <w:rPr>
        <w:sz w:val="20"/>
        <w:i w:val="false"/>
        <w:u w:val="none"/>
        <w:b w:val="false"/>
        <w:rFonts w:ascii="Arial" w:hAnsi="Arial" w:cs="Arial"/>
      </w:rPr>
    </w:lvl>
  </w:abstractNum>
  <w:abstractNum w:abstractNumId="11">
    <w:lvl w:ilvl="0">
      <w:start w:val="1"/>
      <w:numFmt w:val="decimal"/>
      <w:lvlText w:val="(%1) "/>
      <w:lvlJc w:val="start"/>
      <w:pPr>
        <w:tabs>
          <w:tab w:val="num" w:pos="360"/>
        </w:tabs>
        <w:ind w:start="1800" w:hanging="360"/>
      </w:pPr>
      <w:rPr>
        <w:sz w:val="20"/>
        <w:i w:val="false"/>
        <w:u w:val="none"/>
        <w:b w:val="false"/>
        <w:rFonts w:ascii="Arial" w:hAnsi="Arial" w:cs="Arial"/>
      </w:rPr>
    </w:lvl>
  </w:abstractNum>
  <w:abstractNum w:abstractNumId="12">
    <w:lvl w:ilvl="0">
      <w:start w:val="1"/>
      <w:numFmt w:val="lowerRoman"/>
      <w:lvlText w:val="(%1) "/>
      <w:lvlJc w:val="start"/>
      <w:pPr>
        <w:tabs>
          <w:tab w:val="num" w:pos="360"/>
        </w:tabs>
        <w:ind w:start="1080" w:hanging="360"/>
      </w:pPr>
      <w:rPr>
        <w:sz w:val="20"/>
        <w:i w:val="false"/>
        <w:u w:val="none"/>
        <w:b w:val="false"/>
        <w:rFonts w:ascii="Arial" w:hAnsi="Arial" w:cs="Arial"/>
      </w:rPr>
    </w:lvl>
  </w:abstractNum>
  <w:abstractNum w:abstractNumId="13">
    <w:lvl w:ilvl="0">
      <w:start w:val="1"/>
      <w:numFmt w:val="lowerRoman"/>
      <w:lvlText w:val="(%1) "/>
      <w:lvlJc w:val="start"/>
      <w:pPr>
        <w:tabs>
          <w:tab w:val="num" w:pos="360"/>
        </w:tabs>
        <w:ind w:start="810" w:hanging="360"/>
      </w:pPr>
      <w:rPr>
        <w:sz w:val="20"/>
        <w:i w:val="false"/>
        <w:u w:val="none"/>
        <w:b w:val="false"/>
        <w:rFonts w:ascii="Arial" w:hAnsi="Arial" w:cs="Arial"/>
      </w:rPr>
    </w:lvl>
  </w:abstractNum>
  <w:abstractNum w:abstractNumId="14">
    <w:lvl w:ilvl="0">
      <w:start w:val="1"/>
      <w:numFmt w:val="lowerRoman"/>
      <w:lvlText w:val="(%1) "/>
      <w:lvlJc w:val="start"/>
      <w:pPr>
        <w:tabs>
          <w:tab w:val="num" w:pos="360"/>
        </w:tabs>
        <w:ind w:start="720" w:hanging="360"/>
      </w:pPr>
      <w:rPr>
        <w:sz w:val="22"/>
        <w:i w:val="false"/>
        <w:u w:val="none"/>
        <w:b w:val="false"/>
        <w:rFonts w:ascii="Arial" w:hAnsi="Arial" w:cs="Arial"/>
      </w:rPr>
    </w:lvl>
  </w:abstractNum>
  <w:abstractNum w:abstractNumId="15">
    <w:lvl w:ilvl="0">
      <w:start w:val="1"/>
      <w:numFmt w:val="lowerRoman"/>
      <w:lvlText w:val="(%1) "/>
      <w:lvlJc w:val="start"/>
      <w:pPr>
        <w:tabs>
          <w:tab w:val="num" w:pos="360"/>
        </w:tabs>
        <w:ind w:start="1080" w:hanging="360"/>
      </w:pPr>
      <w:rPr>
        <w:sz w:val="20"/>
        <w:i w:val="false"/>
        <w:u w:val="none"/>
        <w:b w:val="false"/>
        <w:rFonts w:ascii="Arial" w:hAnsi="Arial" w:cs="Arial"/>
      </w:rPr>
    </w:lvl>
  </w:abstractNum>
  <w:abstractNum w:abstractNumId="16">
    <w:lvl w:ilvl="0">
      <w:start w:val="1"/>
      <w:numFmt w:val="lowerRoman"/>
      <w:lvlText w:val="(%1) "/>
      <w:lvlJc w:val="start"/>
      <w:pPr>
        <w:tabs>
          <w:tab w:val="num" w:pos="360"/>
        </w:tabs>
        <w:ind w:start="1080" w:hanging="360"/>
      </w:pPr>
      <w:rPr>
        <w:sz w:val="20"/>
        <w:i w:val="false"/>
        <w:u w:val="none"/>
        <w:b w:val="false"/>
        <w:rFonts w:ascii="Arial" w:hAnsi="Arial" w:cs="Arial"/>
      </w:rPr>
    </w:lvl>
  </w:abstractNum>
  <w:abstractNum w:abstractNumId="17">
    <w:lvl w:ilvl="0">
      <w:start w:val="1"/>
      <w:numFmt w:val="lowerRoman"/>
      <w:lvlText w:val="(%1) "/>
      <w:lvlJc w:val="start"/>
      <w:pPr>
        <w:tabs>
          <w:tab w:val="num" w:pos="360"/>
        </w:tabs>
        <w:ind w:start="360" w:hanging="360"/>
      </w:pPr>
      <w:rPr>
        <w:sz w:val="20"/>
        <w:i w:val="false"/>
        <w:u w:val="none"/>
        <w:b w:val="false"/>
        <w:rFonts w:ascii="Arial" w:hAnsi="Arial" w:cs="Arial"/>
      </w:rPr>
    </w:lvl>
  </w:abstractNum>
  <w:abstractNum w:abstractNumId="18">
    <w:lvl w:ilvl="0">
      <w:start w:val="1"/>
      <w:numFmt w:val="lowerRoman"/>
      <w:lvlText w:val="(%1) "/>
      <w:lvlJc w:val="start"/>
      <w:pPr>
        <w:tabs>
          <w:tab w:val="num" w:pos="360"/>
        </w:tabs>
        <w:ind w:start="720" w:hanging="360"/>
      </w:pPr>
      <w:rPr>
        <w:sz w:val="20"/>
        <w:i w:val="false"/>
        <w:u w:val="none"/>
        <w:b w:val="false"/>
        <w:rFonts w:ascii="Arial" w:hAnsi="Arial" w:cs="Arial"/>
      </w:rPr>
    </w:lvl>
  </w:abstractNum>
  <w:abstractNum w:abstractNumId="19">
    <w:lvl w:ilvl="0">
      <w:start w:val="10"/>
      <w:numFmt w:val="lowerLetter"/>
      <w:lvlText w:val="(%1) "/>
      <w:lvlJc w:val="start"/>
      <w:pPr>
        <w:tabs>
          <w:tab w:val="num" w:pos="360"/>
        </w:tabs>
        <w:ind w:start="450" w:hanging="360"/>
      </w:pPr>
      <w:rPr>
        <w:sz w:val="20"/>
        <w:i w:val="false"/>
        <w:u w:val="none"/>
        <w:b w:val="false"/>
        <w:rFonts w:ascii="Arial" w:hAnsi="Arial" w:cs="Arial"/>
      </w:rPr>
    </w:lvl>
  </w:abstractNum>
  <w:abstractNum w:abstractNumId="20">
    <w:lvl w:ilvl="0">
      <w:start w:val="2"/>
      <w:numFmt w:val="lowerRoman"/>
      <w:lvlText w:val="(%1) "/>
      <w:lvlJc w:val="start"/>
      <w:pPr>
        <w:tabs>
          <w:tab w:val="num" w:pos="360"/>
        </w:tabs>
        <w:ind w:start="720" w:hanging="360"/>
      </w:pPr>
      <w:rPr>
        <w:sz w:val="20"/>
        <w:i w:val="false"/>
        <w:u w:val="none"/>
        <w:b w:val="false"/>
        <w:rFonts w:ascii="Arial" w:hAnsi="Arial" w:cs="Arial"/>
      </w:rPr>
    </w:lvl>
  </w:abstractNum>
  <w:abstractNum w:abstractNumId="21">
    <w:lvl w:ilvl="0">
      <w:start w:val="7"/>
      <w:numFmt w:val="lowerLetter"/>
      <w:lvlText w:val="(%1) "/>
      <w:lvlJc w:val="start"/>
      <w:pPr>
        <w:tabs>
          <w:tab w:val="num" w:pos="360"/>
        </w:tabs>
        <w:ind w:start="360" w:hanging="360"/>
      </w:pPr>
      <w:rPr>
        <w:sz w:val="20"/>
        <w:i w:val="false"/>
        <w:u w:val="none"/>
        <w:b w:val="false"/>
        <w:rFonts w:ascii="Arial" w:hAnsi="Arial" w:cs="Arial"/>
      </w:rPr>
    </w:lvl>
  </w:abstractNum>
  <w:abstractNum w:abstractNumId="22">
    <w:lvl w:ilvl="0">
      <w:start w:val="1"/>
      <w:numFmt w:val="decimal"/>
      <w:lvlText w:val="(%1) "/>
      <w:lvlJc w:val="start"/>
      <w:pPr>
        <w:tabs>
          <w:tab w:val="num" w:pos="360"/>
        </w:tabs>
        <w:ind w:start="1800" w:hanging="360"/>
      </w:pPr>
      <w:rPr>
        <w:sz w:val="20"/>
        <w:i w:val="false"/>
        <w:u w:val="none"/>
        <w:b w:val="false"/>
        <w:rFonts w:ascii="Arial" w:hAnsi="Arial" w:cs="Arial"/>
      </w:rPr>
    </w:lvl>
  </w:abstractNum>
  <w:abstractNum w:abstractNumId="23">
    <w:lvl w:ilvl="0">
      <w:start w:val="6"/>
      <w:numFmt w:val="lowerLetter"/>
      <w:lvlText w:val="(%1) "/>
      <w:lvlJc w:val="start"/>
      <w:pPr>
        <w:tabs>
          <w:tab w:val="num" w:pos="360"/>
        </w:tabs>
        <w:ind w:start="360" w:hanging="360"/>
      </w:pPr>
      <w:rPr>
        <w:sz w:val="20"/>
        <w:i w:val="false"/>
        <w:u w:val="none"/>
        <w:b w:val="false"/>
        <w:rFonts w:ascii="Arial" w:hAnsi="Arial" w:cs="Arial"/>
      </w:rPr>
    </w:lvl>
  </w:abstractNum>
  <w:abstractNum w:abstractNumId="24">
    <w:lvl w:ilvl="0">
      <w:start w:val="4"/>
      <w:numFmt w:val="lowerRoman"/>
      <w:lvlText w:val="(%1) "/>
      <w:lvlJc w:val="start"/>
      <w:pPr>
        <w:tabs>
          <w:tab w:val="num" w:pos="360"/>
        </w:tabs>
        <w:ind w:start="720" w:hanging="360"/>
      </w:pPr>
      <w:rPr>
        <w:sz w:val="20"/>
        <w:i w:val="false"/>
        <w:u w:val="none"/>
        <w:b w:val="false"/>
        <w:rFonts w:ascii="Arial" w:hAnsi="Arial" w:cs="Arial"/>
      </w:rPr>
    </w:lvl>
  </w:abstractNum>
  <w:abstractNum w:abstractNumId="25">
    <w:lvl w:ilvl="0">
      <w:start w:val="11"/>
      <w:numFmt w:val="lowerLetter"/>
      <w:lvlText w:val="(%1) "/>
      <w:lvlJc w:val="start"/>
      <w:pPr>
        <w:tabs>
          <w:tab w:val="num" w:pos="360"/>
        </w:tabs>
        <w:ind w:start="360" w:hanging="360"/>
      </w:pPr>
      <w:rPr>
        <w:sz w:val="20"/>
        <w:i w:val="false"/>
        <w:u w:val="none"/>
        <w:b w:val="false"/>
        <w:rFonts w:ascii="Arial" w:hAnsi="Arial" w:cs="Arial"/>
      </w:rPr>
    </w:lvl>
  </w:abstractNum>
  <w:abstractNum w:abstractNumId="26">
    <w:lvl w:ilvl="0">
      <w:start w:val="1"/>
      <w:numFmt w:val="lowerRoman"/>
      <w:lvlText w:val="(%1) "/>
      <w:lvlJc w:val="start"/>
      <w:pPr>
        <w:tabs>
          <w:tab w:val="num" w:pos="360"/>
        </w:tabs>
        <w:ind w:start="810" w:hanging="360"/>
      </w:pPr>
      <w:rPr>
        <w:sz w:val="20"/>
        <w:i w:val="false"/>
        <w:u w:val="none"/>
        <w:b w:val="false"/>
        <w:rFonts w:ascii="Arial" w:hAnsi="Arial" w:cs="Arial"/>
      </w:rPr>
    </w:lvl>
  </w:abstractNum>
  <w:abstractNum w:abstractNumId="27">
    <w:lvl w:ilvl="0">
      <w:start w:val="3"/>
      <w:numFmt w:val="lowerRoman"/>
      <w:lvlText w:val="(%1) "/>
      <w:lvlJc w:val="start"/>
      <w:pPr>
        <w:tabs>
          <w:tab w:val="num" w:pos="360"/>
        </w:tabs>
        <w:ind w:start="720" w:hanging="360"/>
      </w:pPr>
      <w:rPr>
        <w:sz w:val="20"/>
        <w:i w:val="false"/>
        <w:u w:val="none"/>
        <w:b w:val="false"/>
        <w:rFonts w:ascii="Arial" w:hAnsi="Arial" w:cs="Arial"/>
      </w:rPr>
    </w:lvl>
  </w:abstractNum>
  <w:abstractNum w:abstractNumId="28">
    <w:lvl w:ilvl="0">
      <w:start w:val="1"/>
      <w:numFmt w:val="lowerLetter"/>
      <w:lvlText w:val="(%1) "/>
      <w:lvlJc w:val="start"/>
      <w:pPr>
        <w:tabs>
          <w:tab w:val="num" w:pos="360"/>
        </w:tabs>
        <w:ind w:start="360" w:hanging="360"/>
      </w:pPr>
      <w:rPr>
        <w:sz w:val="20"/>
        <w:i w:val="false"/>
        <w:u w:val="none"/>
        <w:b w:val="false"/>
        <w:rFonts w:ascii="Arial" w:hAnsi="Arial" w:cs="Arial"/>
      </w:rPr>
    </w:lvl>
  </w:abstractNum>
  <w:abstractNum w:abstractNumId="29">
    <w:lvl w:ilvl="0">
      <w:start w:val="3"/>
      <w:numFmt w:val="lowerRoman"/>
      <w:lvlText w:val="(%1) "/>
      <w:lvlJc w:val="start"/>
      <w:pPr>
        <w:tabs>
          <w:tab w:val="num" w:pos="360"/>
        </w:tabs>
        <w:ind w:start="720" w:hanging="360"/>
      </w:pPr>
      <w:rPr>
        <w:sz w:val="20"/>
        <w:i w:val="false"/>
        <w:u w:val="non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b/>
      <w:sz w:val="20"/>
    </w:rPr>
  </w:style>
  <w:style w:type="paragraph" w:styleId="Heading2">
    <w:name w:val="heading 2"/>
    <w:basedOn w:val="Normal"/>
    <w:next w:val="Normal"/>
    <w:qFormat/>
    <w:pPr>
      <w:keepNext w:val="true"/>
      <w:numPr>
        <w:ilvl w:val="1"/>
        <w:numId w:val="1"/>
      </w:numPr>
      <w:spacing w:before="240" w:after="60"/>
      <w:outlineLvl w:val="1"/>
    </w:pPr>
    <w:rPr>
      <w:b/>
      <w:i/>
      <w:sz w:val="24"/>
    </w:rPr>
  </w:style>
  <w:style w:type="character" w:styleId="WW8Num1z0">
    <w:name w:val="WW8Num1z0"/>
    <w:qFormat/>
    <w:rPr>
      <w:rFonts w:ascii="Arial" w:hAnsi="Arial" w:cs="Arial"/>
      <w:b w:val="false"/>
      <w:i w:val="false"/>
      <w:sz w:val="22"/>
      <w:u w:val="none"/>
    </w:rPr>
  </w:style>
  <w:style w:type="character" w:styleId="WW8Num2z0">
    <w:name w:val="WW8Num2z0"/>
    <w:qFormat/>
    <w:rPr>
      <w:rFonts w:ascii="Arial" w:hAnsi="Arial" w:cs="Arial"/>
      <w:b w:val="false"/>
      <w:i w:val="false"/>
      <w:sz w:val="20"/>
      <w:u w:val="none"/>
    </w:rPr>
  </w:style>
  <w:style w:type="character" w:styleId="WW8Num3z0">
    <w:name w:val="WW8Num3z0"/>
    <w:qFormat/>
    <w:rPr>
      <w:rFonts w:ascii="Arial" w:hAnsi="Arial" w:cs="Arial"/>
      <w:b w:val="false"/>
      <w:i w:val="false"/>
      <w:sz w:val="20"/>
      <w:u w:val="none"/>
    </w:rPr>
  </w:style>
  <w:style w:type="character" w:styleId="WW8Num4z0">
    <w:name w:val="WW8Num4z0"/>
    <w:qFormat/>
    <w:rPr>
      <w:rFonts w:ascii="Arial" w:hAnsi="Arial" w:cs="Arial"/>
      <w:b w:val="false"/>
      <w:i w:val="false"/>
      <w:sz w:val="20"/>
      <w:u w:val="none"/>
    </w:rPr>
  </w:style>
  <w:style w:type="character" w:styleId="WW8Num5z0">
    <w:name w:val="WW8Num5z0"/>
    <w:qFormat/>
    <w:rPr>
      <w:rFonts w:ascii="Arial" w:hAnsi="Arial" w:cs="Arial"/>
      <w:b w:val="false"/>
      <w:i w:val="false"/>
      <w:sz w:val="20"/>
      <w:u w:val="none"/>
    </w:rPr>
  </w:style>
  <w:style w:type="character" w:styleId="WW8Num6z0">
    <w:name w:val="WW8Num6z0"/>
    <w:qFormat/>
    <w:rPr>
      <w:rFonts w:ascii="Arial" w:hAnsi="Arial" w:cs="Arial"/>
      <w:b w:val="false"/>
      <w:i w:val="false"/>
      <w:sz w:val="20"/>
      <w:u w:val="none"/>
    </w:rPr>
  </w:style>
  <w:style w:type="character" w:styleId="WW8Num7z0">
    <w:name w:val="WW8Num7z0"/>
    <w:qFormat/>
    <w:rPr>
      <w:rFonts w:ascii="Arial" w:hAnsi="Arial" w:cs="Arial"/>
      <w:b w:val="false"/>
      <w:i w:val="false"/>
      <w:sz w:val="20"/>
      <w:u w:val="none"/>
    </w:rPr>
  </w:style>
  <w:style w:type="character" w:styleId="WW8Num8z0">
    <w:name w:val="WW8Num8z0"/>
    <w:qFormat/>
    <w:rPr>
      <w:rFonts w:ascii="Arial" w:hAnsi="Arial" w:cs="Arial"/>
      <w:b w:val="false"/>
      <w:i w:val="false"/>
      <w:sz w:val="20"/>
      <w:u w:val="none"/>
    </w:rPr>
  </w:style>
  <w:style w:type="character" w:styleId="WW8Num9z0">
    <w:name w:val="WW8Num9z0"/>
    <w:qFormat/>
    <w:rPr>
      <w:rFonts w:ascii="Arial" w:hAnsi="Arial" w:cs="Arial"/>
      <w:b w:val="false"/>
      <w:i w:val="false"/>
      <w:sz w:val="20"/>
      <w:u w:val="none"/>
    </w:rPr>
  </w:style>
  <w:style w:type="character" w:styleId="WW8Num10z0">
    <w:name w:val="WW8Num10z0"/>
    <w:qFormat/>
    <w:rPr>
      <w:rFonts w:ascii="Arial" w:hAnsi="Arial" w:cs="Arial"/>
      <w:b w:val="false"/>
      <w:i w:val="false"/>
      <w:sz w:val="20"/>
      <w:u w:val="none"/>
    </w:rPr>
  </w:style>
  <w:style w:type="character" w:styleId="WW8Num11z0">
    <w:name w:val="WW8Num11z0"/>
    <w:qFormat/>
    <w:rPr>
      <w:rFonts w:ascii="Arial" w:hAnsi="Arial" w:cs="Arial"/>
      <w:b w:val="false"/>
      <w:i w:val="false"/>
      <w:sz w:val="22"/>
      <w:u w:val="none"/>
    </w:rPr>
  </w:style>
  <w:style w:type="character" w:styleId="WW8Num12z0">
    <w:name w:val="WW8Num12z0"/>
    <w:qFormat/>
    <w:rPr>
      <w:rFonts w:ascii="Arial" w:hAnsi="Arial" w:cs="Arial"/>
      <w:b w:val="false"/>
      <w:i w:val="false"/>
      <w:sz w:val="20"/>
      <w:u w:val="none"/>
    </w:rPr>
  </w:style>
  <w:style w:type="character" w:styleId="WW8Num13z0">
    <w:name w:val="WW8Num13z0"/>
    <w:qFormat/>
    <w:rPr>
      <w:rFonts w:ascii="Arial" w:hAnsi="Arial" w:cs="Arial"/>
      <w:b w:val="false"/>
      <w:i w:val="false"/>
      <w:sz w:val="20"/>
      <w:u w:val="none"/>
    </w:rPr>
  </w:style>
  <w:style w:type="character" w:styleId="WW8Num14z0">
    <w:name w:val="WW8Num14z0"/>
    <w:qFormat/>
    <w:rPr>
      <w:rFonts w:ascii="Arial" w:hAnsi="Arial" w:cs="Arial"/>
      <w:b w:val="false"/>
      <w:i w:val="false"/>
      <w:sz w:val="20"/>
      <w:u w:val="none"/>
    </w:rPr>
  </w:style>
  <w:style w:type="character" w:styleId="WW8Num15z0">
    <w:name w:val="WW8Num15z0"/>
    <w:qFormat/>
    <w:rPr>
      <w:rFonts w:ascii="Arial" w:hAnsi="Arial" w:cs="Arial"/>
      <w:b w:val="false"/>
      <w:i w:val="false"/>
      <w:sz w:val="20"/>
      <w:u w:val="none"/>
    </w:rPr>
  </w:style>
  <w:style w:type="character" w:styleId="WW8Num16z0">
    <w:name w:val="WW8Num16z0"/>
    <w:qFormat/>
    <w:rPr>
      <w:rFonts w:ascii="Arial" w:hAnsi="Arial" w:cs="Arial"/>
      <w:b w:val="false"/>
      <w:i w:val="false"/>
      <w:sz w:val="22"/>
      <w:u w:val="none"/>
    </w:rPr>
  </w:style>
  <w:style w:type="character" w:styleId="WW8Num17z0">
    <w:name w:val="WW8Num17z0"/>
    <w:qFormat/>
    <w:rPr>
      <w:rFonts w:ascii="Arial" w:hAnsi="Arial" w:cs="Arial"/>
      <w:b w:val="false"/>
      <w:i w:val="false"/>
      <w:sz w:val="20"/>
      <w:u w:val="none"/>
    </w:rPr>
  </w:style>
  <w:style w:type="character" w:styleId="WW8Num18z0">
    <w:name w:val="WW8Num18z0"/>
    <w:qFormat/>
    <w:rPr>
      <w:rFonts w:ascii="Arial" w:hAnsi="Arial" w:cs="Arial"/>
      <w:b w:val="false"/>
      <w:i w:val="false"/>
      <w:sz w:val="20"/>
      <w:u w:val="none"/>
    </w:rPr>
  </w:style>
  <w:style w:type="character" w:styleId="WW8Num19z0">
    <w:name w:val="WW8Num19z0"/>
    <w:qFormat/>
    <w:rPr>
      <w:rFonts w:ascii="Arial" w:hAnsi="Arial" w:cs="Arial"/>
      <w:b w:val="false"/>
      <w:i w:val="false"/>
      <w:sz w:val="20"/>
      <w:u w:val="none"/>
    </w:rPr>
  </w:style>
  <w:style w:type="character" w:styleId="WW8Num20z0">
    <w:name w:val="WW8Num20z0"/>
    <w:qFormat/>
    <w:rPr>
      <w:rFonts w:ascii="Arial" w:hAnsi="Arial" w:cs="Arial"/>
      <w:b w:val="false"/>
      <w:i w:val="false"/>
      <w:sz w:val="20"/>
      <w:u w:val="none"/>
    </w:rPr>
  </w:style>
  <w:style w:type="character" w:styleId="WW8Num21z0">
    <w:name w:val="WW8Num21z0"/>
    <w:qFormat/>
    <w:rPr>
      <w:rFonts w:ascii="Arial" w:hAnsi="Arial" w:cs="Arial"/>
      <w:b w:val="false"/>
      <w:i w:val="false"/>
      <w:sz w:val="20"/>
      <w:u w:val="none"/>
    </w:rPr>
  </w:style>
  <w:style w:type="character" w:styleId="WW8Num22z0">
    <w:name w:val="WW8Num22z0"/>
    <w:qFormat/>
    <w:rPr>
      <w:rFonts w:ascii="Arial" w:hAnsi="Arial" w:cs="Arial"/>
      <w:b w:val="false"/>
      <w:i w:val="false"/>
      <w:sz w:val="20"/>
      <w:u w:val="none"/>
    </w:rPr>
  </w:style>
  <w:style w:type="character" w:styleId="WW8Num23z0">
    <w:name w:val="WW8Num23z0"/>
    <w:qFormat/>
    <w:rPr>
      <w:rFonts w:ascii="Arial" w:hAnsi="Arial" w:cs="Arial"/>
      <w:b w:val="false"/>
      <w:i w:val="false"/>
      <w:sz w:val="20"/>
      <w:u w:val="none"/>
    </w:rPr>
  </w:style>
  <w:style w:type="character" w:styleId="WW8Num24z0">
    <w:name w:val="WW8Num24z0"/>
    <w:qFormat/>
    <w:rPr>
      <w:rFonts w:ascii="Arial" w:hAnsi="Arial" w:cs="Arial"/>
      <w:b w:val="false"/>
      <w:i w:val="false"/>
      <w:sz w:val="20"/>
      <w:u w:val="none"/>
    </w:rPr>
  </w:style>
  <w:style w:type="character" w:styleId="WW8Num25z0">
    <w:name w:val="WW8Num25z0"/>
    <w:qFormat/>
    <w:rPr>
      <w:rFonts w:ascii="Arial" w:hAnsi="Arial" w:cs="Arial"/>
      <w:b w:val="false"/>
      <w:i w:val="false"/>
      <w:sz w:val="20"/>
      <w:u w:val="none"/>
    </w:rPr>
  </w:style>
  <w:style w:type="character" w:styleId="WW8Num26z0">
    <w:name w:val="WW8Num26z0"/>
    <w:qFormat/>
    <w:rPr>
      <w:rFonts w:ascii="Arial" w:hAnsi="Arial" w:cs="Arial"/>
      <w:b w:val="false"/>
      <w:i w:val="false"/>
      <w:sz w:val="20"/>
      <w:u w:val="none"/>
    </w:rPr>
  </w:style>
  <w:style w:type="character" w:styleId="WW8Num27z0">
    <w:name w:val="WW8Num27z0"/>
    <w:qFormat/>
    <w:rPr>
      <w:rFonts w:ascii="Arial" w:hAnsi="Arial" w:cs="Arial"/>
      <w:b w:val="false"/>
      <w:i w:val="false"/>
      <w:sz w:val="20"/>
      <w:u w:val="none"/>
    </w:rPr>
  </w:style>
  <w:style w:type="character" w:styleId="WW8Num28z0">
    <w:name w:val="WW8Num28z0"/>
    <w:qFormat/>
    <w:rPr>
      <w:rFonts w:ascii="Arial" w:hAnsi="Arial" w:cs="Arial"/>
      <w:b w:val="false"/>
      <w:i w:val="false"/>
      <w:sz w:val="20"/>
      <w:u w:val="none"/>
    </w:rPr>
  </w:style>
  <w:style w:type="character" w:styleId="WW8Num29z0">
    <w:name w:val="WW8Num29z0"/>
    <w:qFormat/>
    <w:rPr>
      <w:rFonts w:ascii="Arial" w:hAnsi="Arial" w:cs="Arial"/>
      <w:b w:val="false"/>
      <w:i w:val="false"/>
      <w:sz w:val="20"/>
      <w:u w:val="none"/>
    </w:rPr>
  </w:style>
  <w:style w:type="character" w:styleId="WW8Num30z0">
    <w:name w:val="WW8Num30z0"/>
    <w:qFormat/>
    <w:rPr>
      <w:rFonts w:ascii="Arial" w:hAnsi="Arial" w:cs="Arial"/>
      <w:b w:val="false"/>
      <w:i w:val="false"/>
      <w:sz w:val="20"/>
      <w:u w:val="none"/>
    </w:rPr>
  </w:style>
  <w:style w:type="character" w:styleId="WW8Num31z0">
    <w:name w:val="WW8Num31z0"/>
    <w:qFormat/>
    <w:rPr>
      <w:rFonts w:ascii="Arial" w:hAnsi="Arial" w:cs="Arial"/>
      <w:b w:val="false"/>
      <w:i w:val="false"/>
      <w:sz w:val="20"/>
      <w:u w:val="none"/>
    </w:rPr>
  </w:style>
  <w:style w:type="character" w:styleId="WW8Num32z0">
    <w:name w:val="WW8Num32z0"/>
    <w:qFormat/>
    <w:rPr>
      <w:rFonts w:ascii="Arial" w:hAnsi="Arial" w:cs="Arial"/>
      <w:b w:val="false"/>
      <w:i w:val="false"/>
      <w:sz w:val="20"/>
      <w:u w:val="none"/>
    </w:rPr>
  </w:style>
  <w:style w:type="character" w:styleId="WW8Num33z0">
    <w:name w:val="WW8Num33z0"/>
    <w:qFormat/>
    <w:rPr>
      <w:rFonts w:ascii="Arial" w:hAnsi="Arial" w:cs="Arial"/>
      <w:b w:val="false"/>
      <w:i w:val="false"/>
      <w:sz w:val="20"/>
      <w:u w:val="none"/>
    </w:rPr>
  </w:style>
  <w:style w:type="character" w:styleId="WW8Num34z0">
    <w:name w:val="WW8Num34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hanging="0" w:start="360" w:end="0"/>
      <w:jc w:val="both"/>
    </w:pPr>
    <w:rPr>
      <w:sz w:val="20"/>
    </w:rPr>
  </w:style>
  <w:style w:type="paragraph" w:styleId="BodyTextIndent2">
    <w:name w:val="Body Text Indent 2"/>
    <w:basedOn w:val="Normal"/>
    <w:qFormat/>
    <w:pPr>
      <w:spacing w:lineRule="auto" w:line="360"/>
      <w:ind w:hanging="0" w:start="1080" w:end="0"/>
      <w:jc w:val="both"/>
    </w:pPr>
    <w:rPr>
      <w:sz w:val="20"/>
    </w:rPr>
  </w:style>
  <w:style w:type="paragraph" w:styleId="BodyTextIndent3">
    <w:name w:val="Body Text Indent 3"/>
    <w:basedOn w:val="Normal"/>
    <w:qFormat/>
    <w:pPr>
      <w:spacing w:lineRule="auto" w:line="360"/>
      <w:ind w:hanging="0" w:start="720" w:end="0"/>
      <w:jc w:val="both"/>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2000-06-27T15:43:00Z</dcterms:created>
  <dc:creator>NYSEG</dc:creator>
  <dc:description/>
  <dc:language>en-CA</dc:language>
  <cp:lastModifiedBy>Maria Gelnett</cp:lastModifiedBy>
  <cp:lastPrinted>2000-06-13T11:20:00Z</cp:lastPrinted>
  <dcterms:modified xsi:type="dcterms:W3CDTF">2000-07-05T12:09:00Z</dcterms:modified>
  <cp:revision>6</cp:revision>
  <dc:subject/>
  <dc:title>Paragraph 13</dc:title>
</cp:coreProperties>
</file>