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CREDIT SEMINAR</w:t>
      </w:r>
    </w:p>
    <w:p>
      <w:pPr>
        <w:pStyle w:val="Normal"/>
        <w:rPr>
          <w:sz w:val="24"/>
        </w:rPr>
      </w:pPr>
      <w:r>
        <w:rPr>
          <w:sz w:val="24"/>
        </w:rPr>
      </w:r>
    </w:p>
    <w:p>
      <w:pPr>
        <w:pStyle w:val="Normal"/>
        <w:rPr>
          <w:sz w:val="24"/>
        </w:rPr>
      </w:pPr>
      <w:r>
        <w:rPr>
          <w:sz w:val="24"/>
        </w:rPr>
      </w:r>
    </w:p>
    <w:p>
      <w:pPr>
        <w:pStyle w:val="Normal"/>
        <w:rPr>
          <w:sz w:val="24"/>
        </w:rPr>
      </w:pPr>
      <w:r>
        <w:rPr>
          <w:sz w:val="24"/>
        </w:rPr>
      </w:r>
    </w:p>
    <w:p>
      <w:pPr>
        <w:pStyle w:val="Subtitle"/>
        <w:jc w:val="both"/>
        <w:rPr/>
      </w:pPr>
      <w:r>
        <w:rPr/>
        <w:t>A.</w:t>
        <w:tab/>
      </w:r>
      <w:r>
        <w:rPr>
          <w:u w:val="single"/>
        </w:rPr>
        <w:t>ISDA Master/Schedule Issues</w:t>
      </w:r>
    </w:p>
    <w:p>
      <w:pPr>
        <w:pStyle w:val="Normal"/>
        <w:jc w:val="both"/>
        <w:rPr>
          <w:sz w:val="24"/>
        </w:rPr>
      </w:pPr>
      <w:r>
        <w:rPr>
          <w:sz w:val="24"/>
        </w:rPr>
      </w:r>
    </w:p>
    <w:p>
      <w:pPr>
        <w:pStyle w:val="Normal"/>
        <w:jc w:val="both"/>
        <w:rPr>
          <w:sz w:val="24"/>
        </w:rPr>
      </w:pPr>
      <w:r>
        <w:rPr>
          <w:sz w:val="24"/>
        </w:rPr>
        <w:tab/>
        <w:t>1.</w:t>
        <w:tab/>
        <w:t>ESP determination</w:t>
      </w:r>
    </w:p>
    <w:p>
      <w:pPr>
        <w:pStyle w:val="Normal"/>
        <w:jc w:val="both"/>
        <w:rPr>
          <w:sz w:val="24"/>
        </w:rPr>
      </w:pPr>
      <w:r>
        <w:rPr>
          <w:sz w:val="24"/>
        </w:rPr>
      </w:r>
    </w:p>
    <w:p>
      <w:pPr>
        <w:pStyle w:val="Normal"/>
        <w:jc w:val="both"/>
        <w:rPr>
          <w:sz w:val="24"/>
        </w:rPr>
      </w:pPr>
      <w:r>
        <w:rPr>
          <w:sz w:val="24"/>
        </w:rPr>
        <w:tab/>
        <w:t>2.</w:t>
        <w:tab/>
        <w:t>Is there a Credit Support Provider?  If not, whose credit are we relying on?</w:t>
      </w:r>
    </w:p>
    <w:p>
      <w:pPr>
        <w:pStyle w:val="Normal"/>
        <w:jc w:val="both"/>
        <w:rPr>
          <w:sz w:val="24"/>
        </w:rPr>
      </w:pPr>
      <w:r>
        <w:rPr>
          <w:sz w:val="24"/>
        </w:rPr>
      </w:r>
    </w:p>
    <w:p>
      <w:pPr>
        <w:pStyle w:val="Normal"/>
        <w:jc w:val="both"/>
        <w:rPr>
          <w:sz w:val="24"/>
        </w:rPr>
      </w:pPr>
      <w:r>
        <w:rPr>
          <w:sz w:val="24"/>
        </w:rPr>
        <w:tab/>
        <w:t>3.</w:t>
        <w:tab/>
        <w:t>What type of entity is it?</w:t>
      </w:r>
    </w:p>
    <w:p>
      <w:pPr>
        <w:pStyle w:val="Normal"/>
        <w:jc w:val="both"/>
        <w:rPr>
          <w:sz w:val="24"/>
        </w:rPr>
      </w:pPr>
      <w:r>
        <w:rPr>
          <w:sz w:val="24"/>
        </w:rPr>
      </w:r>
    </w:p>
    <w:p>
      <w:pPr>
        <w:pStyle w:val="Normal"/>
        <w:jc w:val="both"/>
        <w:rPr>
          <w:sz w:val="24"/>
        </w:rPr>
      </w:pPr>
      <w:r>
        <w:rPr>
          <w:sz w:val="24"/>
        </w:rPr>
        <w:t xml:space="preserve"> </w:t>
      </w:r>
      <w:r>
        <w:rPr>
          <w:sz w:val="24"/>
        </w:rPr>
        <w:tab/>
        <w:tab/>
        <w:t>- corporation</w:t>
      </w:r>
    </w:p>
    <w:p>
      <w:pPr>
        <w:pStyle w:val="Normal"/>
        <w:jc w:val="both"/>
        <w:rPr>
          <w:sz w:val="24"/>
        </w:rPr>
      </w:pPr>
      <w:r>
        <w:rPr>
          <w:sz w:val="24"/>
        </w:rPr>
      </w:r>
    </w:p>
    <w:p>
      <w:pPr>
        <w:pStyle w:val="Normal"/>
        <w:ind w:firstLine="720" w:end="0"/>
        <w:jc w:val="both"/>
        <w:rPr>
          <w:sz w:val="24"/>
        </w:rPr>
      </w:pPr>
      <w:r>
        <w:rPr>
          <w:sz w:val="24"/>
        </w:rPr>
        <w:tab/>
        <w:t>- limited partnership</w:t>
      </w:r>
    </w:p>
    <w:p>
      <w:pPr>
        <w:pStyle w:val="Normal"/>
        <w:jc w:val="both"/>
        <w:rPr>
          <w:sz w:val="24"/>
        </w:rPr>
      </w:pPr>
      <w:r>
        <w:rPr>
          <w:sz w:val="24"/>
        </w:rPr>
      </w:r>
    </w:p>
    <w:p>
      <w:pPr>
        <w:pStyle w:val="Normal"/>
        <w:ind w:firstLine="720" w:end="0"/>
        <w:jc w:val="both"/>
        <w:rPr>
          <w:sz w:val="24"/>
        </w:rPr>
      </w:pPr>
      <w:r>
        <w:rPr>
          <w:sz w:val="24"/>
        </w:rPr>
        <w:tab/>
        <w:t>- general partnership</w:t>
      </w:r>
    </w:p>
    <w:p>
      <w:pPr>
        <w:pStyle w:val="Normal"/>
        <w:jc w:val="both"/>
        <w:rPr>
          <w:sz w:val="24"/>
        </w:rPr>
      </w:pPr>
      <w:r>
        <w:rPr>
          <w:sz w:val="24"/>
        </w:rPr>
        <w:tab/>
      </w:r>
    </w:p>
    <w:p>
      <w:pPr>
        <w:pStyle w:val="Normal"/>
        <w:jc w:val="both"/>
        <w:rPr>
          <w:sz w:val="24"/>
        </w:rPr>
      </w:pPr>
      <w:r>
        <w:rPr>
          <w:sz w:val="24"/>
        </w:rPr>
        <w:tab/>
        <w:tab/>
        <w:t>- limited liability company</w:t>
      </w:r>
    </w:p>
    <w:p>
      <w:pPr>
        <w:pStyle w:val="Normal"/>
        <w:jc w:val="both"/>
        <w:rPr>
          <w:sz w:val="24"/>
        </w:rPr>
      </w:pPr>
      <w:r>
        <w:rPr>
          <w:sz w:val="24"/>
        </w:rPr>
      </w:r>
    </w:p>
    <w:p>
      <w:pPr>
        <w:pStyle w:val="Normal"/>
        <w:jc w:val="both"/>
        <w:rPr>
          <w:sz w:val="24"/>
        </w:rPr>
      </w:pPr>
      <w:r>
        <w:rPr>
          <w:sz w:val="24"/>
        </w:rPr>
        <w:tab/>
        <w:t>4.</w:t>
        <w:tab/>
        <w:t>Is entity in a “regulated” type of business?</w:t>
      </w:r>
    </w:p>
    <w:p>
      <w:pPr>
        <w:pStyle w:val="Normal"/>
        <w:jc w:val="both"/>
        <w:rPr>
          <w:sz w:val="24"/>
        </w:rPr>
      </w:pPr>
      <w:r>
        <w:rPr>
          <w:sz w:val="24"/>
        </w:rPr>
      </w:r>
    </w:p>
    <w:p>
      <w:pPr>
        <w:pStyle w:val="Normal"/>
        <w:jc w:val="both"/>
        <w:rPr>
          <w:sz w:val="24"/>
        </w:rPr>
      </w:pPr>
      <w:r>
        <w:rPr>
          <w:sz w:val="24"/>
        </w:rPr>
        <w:tab/>
        <w:tab/>
        <w:t>- utility</w:t>
      </w:r>
    </w:p>
    <w:p>
      <w:pPr>
        <w:pStyle w:val="Normal"/>
        <w:jc w:val="both"/>
        <w:rPr>
          <w:sz w:val="24"/>
        </w:rPr>
      </w:pPr>
      <w:r>
        <w:rPr>
          <w:sz w:val="24"/>
        </w:rPr>
      </w:r>
    </w:p>
    <w:p>
      <w:pPr>
        <w:pStyle w:val="Normal"/>
        <w:jc w:val="both"/>
        <w:rPr>
          <w:sz w:val="24"/>
        </w:rPr>
      </w:pPr>
      <w:r>
        <w:rPr>
          <w:sz w:val="24"/>
        </w:rPr>
        <w:tab/>
        <w:tab/>
        <w:t>- insurance companies</w:t>
      </w:r>
    </w:p>
    <w:p>
      <w:pPr>
        <w:pStyle w:val="Normal"/>
        <w:jc w:val="both"/>
        <w:rPr>
          <w:sz w:val="24"/>
        </w:rPr>
      </w:pPr>
      <w:r>
        <w:rPr>
          <w:sz w:val="24"/>
        </w:rPr>
      </w:r>
    </w:p>
    <w:p>
      <w:pPr>
        <w:pStyle w:val="Normal"/>
        <w:jc w:val="both"/>
        <w:rPr>
          <w:sz w:val="24"/>
        </w:rPr>
      </w:pPr>
      <w:r>
        <w:rPr>
          <w:sz w:val="24"/>
        </w:rPr>
        <w:tab/>
        <w:tab/>
        <w:t>- banks, financial institutions</w:t>
      </w:r>
    </w:p>
    <w:p>
      <w:pPr>
        <w:pStyle w:val="Normal"/>
        <w:jc w:val="both"/>
        <w:rPr>
          <w:sz w:val="24"/>
        </w:rPr>
      </w:pPr>
      <w:r>
        <w:rPr>
          <w:sz w:val="24"/>
        </w:rPr>
      </w:r>
    </w:p>
    <w:p>
      <w:pPr>
        <w:pStyle w:val="Normal"/>
        <w:jc w:val="both"/>
        <w:rPr>
          <w:sz w:val="24"/>
        </w:rPr>
      </w:pPr>
      <w:r>
        <w:rPr>
          <w:sz w:val="24"/>
        </w:rPr>
        <w:tab/>
        <w:tab/>
        <w:t>- hedge funds</w:t>
      </w:r>
    </w:p>
    <w:p>
      <w:pPr>
        <w:pStyle w:val="Normal"/>
        <w:jc w:val="both"/>
        <w:rPr>
          <w:sz w:val="24"/>
        </w:rPr>
      </w:pPr>
      <w:r>
        <w:rPr>
          <w:sz w:val="24"/>
        </w:rPr>
      </w:r>
    </w:p>
    <w:p>
      <w:pPr>
        <w:pStyle w:val="Normal"/>
        <w:jc w:val="both"/>
        <w:rPr>
          <w:sz w:val="24"/>
        </w:rPr>
      </w:pPr>
      <w:r>
        <w:rPr>
          <w:sz w:val="24"/>
        </w:rPr>
        <w:tab/>
        <w:t>5.</w:t>
        <w:tab/>
        <w:t>ISDA Master Credit Decisions</w:t>
      </w:r>
    </w:p>
    <w:p>
      <w:pPr>
        <w:pStyle w:val="Normal"/>
        <w:jc w:val="both"/>
        <w:rPr>
          <w:sz w:val="24"/>
        </w:rPr>
      </w:pPr>
      <w:r>
        <w:rPr>
          <w:sz w:val="24"/>
        </w:rPr>
      </w:r>
    </w:p>
    <w:p>
      <w:pPr>
        <w:pStyle w:val="Normal"/>
        <w:ind w:hanging="720" w:start="2160" w:end="0"/>
        <w:jc w:val="both"/>
        <w:rPr/>
      </w:pPr>
      <w:r>
        <w:rPr>
          <w:sz w:val="24"/>
        </w:rPr>
        <w:t>a)</w:t>
        <w:tab/>
      </w:r>
      <w:r>
        <w:rPr>
          <w:sz w:val="24"/>
          <w:u w:val="single"/>
        </w:rPr>
        <w:t>Section 2(c) - Netting</w:t>
      </w:r>
      <w:r>
        <w:rPr>
          <w:sz w:val="24"/>
        </w:rPr>
        <w:t xml:space="preserve"> – same currency, same payment date, multiple transactions under master.  Our Schedule always elects netting.</w:t>
      </w:r>
    </w:p>
    <w:p>
      <w:pPr>
        <w:pStyle w:val="Normal"/>
        <w:jc w:val="both"/>
        <w:rPr>
          <w:sz w:val="24"/>
        </w:rPr>
      </w:pPr>
      <w:r>
        <w:rPr>
          <w:sz w:val="24"/>
        </w:rPr>
      </w:r>
    </w:p>
    <w:p>
      <w:pPr>
        <w:pStyle w:val="Normal"/>
        <w:jc w:val="both"/>
        <w:rPr>
          <w:sz w:val="24"/>
        </w:rPr>
      </w:pPr>
      <w:r>
        <w:rPr>
          <w:sz w:val="24"/>
        </w:rPr>
        <w:tab/>
        <w:tab/>
        <w:t>b)</w:t>
        <w:tab/>
      </w:r>
      <w:r>
        <w:rPr>
          <w:sz w:val="24"/>
          <w:u w:val="single"/>
        </w:rPr>
        <w:t>Section 3 – Representations and Warranties</w:t>
      </w:r>
    </w:p>
    <w:p>
      <w:pPr>
        <w:pStyle w:val="Normal"/>
        <w:jc w:val="both"/>
        <w:rPr>
          <w:sz w:val="24"/>
        </w:rPr>
      </w:pPr>
      <w:r>
        <w:rPr>
          <w:sz w:val="24"/>
        </w:rPr>
      </w:r>
    </w:p>
    <w:p>
      <w:pPr>
        <w:pStyle w:val="BodyText"/>
        <w:tabs>
          <w:tab w:val="clear" w:pos="1440"/>
          <w:tab w:val="clear" w:pos="1710"/>
          <w:tab w:val="clear" w:pos="2520"/>
        </w:tabs>
        <w:ind w:hanging="2160" w:start="2160" w:end="0"/>
        <w:jc w:val="both"/>
        <w:rPr/>
      </w:pPr>
      <w:r>
        <w:rPr/>
        <w:tab/>
        <w:t xml:space="preserve">These are made each time a Transaction is entered into. Current representations and warranties only are made by "each Party”.  We usually require representations and warranties from any Guarantor in the Guaranty.  If limited partnership is counterparty, do we need representations and warranties as to general partner?  </w:t>
      </w:r>
      <w:r>
        <w:br w:type="page"/>
      </w:r>
    </w:p>
    <w:p>
      <w:pPr>
        <w:pStyle w:val="Normal"/>
        <w:jc w:val="both"/>
        <w:rPr>
          <w:sz w:val="24"/>
        </w:rPr>
      </w:pPr>
      <w:r>
        <w:rPr>
          <w:sz w:val="24"/>
        </w:rPr>
      </w:r>
    </w:p>
    <w:p>
      <w:pPr>
        <w:pStyle w:val="Normal"/>
        <w:numPr>
          <w:ilvl w:val="0"/>
          <w:numId w:val="4"/>
        </w:numPr>
        <w:jc w:val="both"/>
        <w:rPr>
          <w:sz w:val="24"/>
          <w:u w:val="single"/>
        </w:rPr>
      </w:pPr>
      <w:r>
        <w:rPr>
          <w:sz w:val="24"/>
          <w:u w:val="single"/>
        </w:rPr>
        <w:t>Section 4 – Covenants</w:t>
      </w:r>
    </w:p>
    <w:p>
      <w:pPr>
        <w:pStyle w:val="Normal"/>
        <w:jc w:val="both"/>
        <w:rPr>
          <w:sz w:val="24"/>
          <w:u w:val="single"/>
        </w:rPr>
      </w:pPr>
      <w:r>
        <w:rPr>
          <w:sz w:val="24"/>
          <w:u w:val="single"/>
        </w:rPr>
      </w:r>
    </w:p>
    <w:p>
      <w:pPr>
        <w:pStyle w:val="Normal"/>
        <w:ind w:start="2160" w:end="0"/>
        <w:jc w:val="both"/>
        <w:rPr>
          <w:sz w:val="24"/>
        </w:rPr>
      </w:pPr>
      <w:r>
        <w:rPr>
          <w:sz w:val="24"/>
        </w:rPr>
        <w:t xml:space="preserve">These apply so long as the parties have obligations to each other under the Master.  Current covenants in ISDA form are only made by “each Party.”  For certain types of counterparties (i.e., limited partnerships) consider adding other covenants (i.e., no amendments to partnership agreement that would affect GP’s joint and several liability) </w:t>
      </w:r>
    </w:p>
    <w:p>
      <w:pPr>
        <w:pStyle w:val="Normal"/>
        <w:ind w:hanging="2880" w:start="2070" w:end="0"/>
        <w:jc w:val="both"/>
        <w:rPr>
          <w:sz w:val="24"/>
        </w:rPr>
      </w:pPr>
      <w:r>
        <w:rPr>
          <w:sz w:val="24"/>
        </w:rPr>
        <w:tab/>
      </w:r>
    </w:p>
    <w:p>
      <w:pPr>
        <w:pStyle w:val="Normal"/>
        <w:ind w:hanging="720" w:start="2160" w:end="0"/>
        <w:jc w:val="both"/>
        <w:rPr>
          <w:sz w:val="24"/>
        </w:rPr>
      </w:pPr>
      <w:r>
        <w:rPr>
          <w:sz w:val="24"/>
        </w:rPr>
        <w:t>d)</w:t>
        <w:tab/>
      </w:r>
      <w:r>
        <w:rPr>
          <w:sz w:val="24"/>
          <w:u w:val="single"/>
        </w:rPr>
        <w:t>Section 5 – Events of Default</w:t>
      </w:r>
    </w:p>
    <w:p>
      <w:pPr>
        <w:pStyle w:val="Normal"/>
        <w:ind w:hanging="720" w:start="2160" w:end="0"/>
        <w:jc w:val="both"/>
        <w:rPr>
          <w:sz w:val="24"/>
        </w:rPr>
      </w:pPr>
      <w:r>
        <w:rPr>
          <w:sz w:val="24"/>
        </w:rPr>
      </w:r>
    </w:p>
    <w:p>
      <w:pPr>
        <w:pStyle w:val="Normal"/>
        <w:ind w:hanging="2070" w:start="2160" w:end="0"/>
        <w:jc w:val="both"/>
        <w:rPr>
          <w:sz w:val="24"/>
        </w:rPr>
      </w:pPr>
      <w:r>
        <w:rPr>
          <w:sz w:val="24"/>
        </w:rPr>
        <w:tab/>
        <w:t xml:space="preserve">These currently apply to each Party and to each “Credit Support Provider”.  Certain ones could apply to each “Specified Entity” if one is designated in the Schedule.  </w:t>
      </w:r>
    </w:p>
    <w:p>
      <w:pPr>
        <w:pStyle w:val="Normal"/>
        <w:ind w:hanging="2880" w:start="2880" w:end="0"/>
        <w:jc w:val="both"/>
        <w:rPr>
          <w:sz w:val="24"/>
        </w:rPr>
      </w:pPr>
      <w:r>
        <w:rPr>
          <w:sz w:val="24"/>
        </w:rPr>
      </w:r>
    </w:p>
    <w:p>
      <w:pPr>
        <w:pStyle w:val="Normal"/>
        <w:ind w:start="2160" w:end="0"/>
        <w:jc w:val="both"/>
        <w:rPr/>
      </w:pPr>
      <w:r>
        <w:rPr>
          <w:sz w:val="24"/>
          <w:u w:val="single"/>
        </w:rPr>
        <w:t>Section 5(a)(i), (ii) and (iv)</w:t>
      </w:r>
      <w:r>
        <w:rPr>
          <w:sz w:val="24"/>
        </w:rPr>
        <w:t xml:space="preserve"> – failure to pay, breach of covenants and breach of representations.  Cure periods.  Require notice from non-defaulting party to start cure period.</w:t>
      </w:r>
    </w:p>
    <w:p>
      <w:pPr>
        <w:pStyle w:val="Normal"/>
        <w:ind w:start="2160" w:end="0"/>
        <w:jc w:val="both"/>
        <w:rPr>
          <w:sz w:val="24"/>
        </w:rPr>
      </w:pPr>
      <w:r>
        <w:rPr>
          <w:sz w:val="24"/>
        </w:rPr>
      </w:r>
    </w:p>
    <w:p>
      <w:pPr>
        <w:pStyle w:val="Normal"/>
        <w:ind w:hanging="2160" w:start="2160" w:end="0"/>
        <w:jc w:val="both"/>
        <w:rPr/>
      </w:pPr>
      <w:r>
        <w:rPr>
          <w:sz w:val="24"/>
        </w:rPr>
        <w:tab/>
      </w:r>
      <w:r>
        <w:rPr>
          <w:sz w:val="24"/>
          <w:u w:val="single"/>
        </w:rPr>
        <w:t>Section 5(a)(iii)</w:t>
      </w:r>
      <w:r>
        <w:rPr>
          <w:sz w:val="24"/>
        </w:rPr>
        <w:t xml:space="preserve"> – “Credit Support Provider” defaults.  </w:t>
      </w:r>
      <w:r>
        <w:rPr>
          <w:b/>
          <w:sz w:val="24"/>
        </w:rPr>
        <w:t>Note:</w:t>
      </w:r>
      <w:r>
        <w:rPr>
          <w:sz w:val="24"/>
        </w:rPr>
        <w:t xml:space="preserve">  if guaranty has an optional termination provision, this default is </w:t>
      </w:r>
      <w:r>
        <w:rPr>
          <w:b/>
          <w:sz w:val="24"/>
        </w:rPr>
        <w:t>not</w:t>
      </w:r>
      <w:r>
        <w:rPr>
          <w:sz w:val="24"/>
        </w:rPr>
        <w:t xml:space="preserve"> triggered.</w:t>
      </w:r>
    </w:p>
    <w:p>
      <w:pPr>
        <w:pStyle w:val="Normal"/>
        <w:ind w:hanging="2880" w:start="2880" w:end="0"/>
        <w:jc w:val="both"/>
        <w:rPr>
          <w:sz w:val="24"/>
          <w:u w:val="single"/>
        </w:rPr>
      </w:pPr>
      <w:r>
        <w:rPr>
          <w:sz w:val="24"/>
          <w:u w:val="single"/>
        </w:rPr>
      </w:r>
    </w:p>
    <w:p>
      <w:pPr>
        <w:pStyle w:val="Normal"/>
        <w:ind w:start="2160" w:end="0"/>
        <w:jc w:val="both"/>
        <w:rPr/>
      </w:pPr>
      <w:r>
        <w:rPr>
          <w:sz w:val="24"/>
          <w:u w:val="single"/>
        </w:rPr>
        <w:t>Section 5(a)(v)</w:t>
      </w:r>
      <w:r>
        <w:rPr>
          <w:sz w:val="24"/>
        </w:rPr>
        <w:t xml:space="preserve"> – Cross Default to “Specified Transaction” – Specified Transaction means any financial derivatives between the parties, each party’s Credit Support Provider and each party and the other party’s Credit Support Provider.  The cross default is triggered if (1) there is a payment default with respect to either the last payment due or any termination payment; (2) there is another type of default that results in the termination/liquidation of the Specified Transaction; or (3) a party disaffirms or rejects a Specified Transaction.</w:t>
      </w:r>
    </w:p>
    <w:p>
      <w:pPr>
        <w:pStyle w:val="Normal"/>
        <w:ind w:start="2160" w:end="0"/>
        <w:jc w:val="both"/>
        <w:rPr>
          <w:sz w:val="24"/>
          <w:u w:val="single"/>
        </w:rPr>
      </w:pPr>
      <w:r>
        <w:rPr>
          <w:sz w:val="24"/>
          <w:u w:val="single"/>
        </w:rPr>
      </w:r>
    </w:p>
    <w:p>
      <w:pPr>
        <w:pStyle w:val="Normal"/>
        <w:ind w:hanging="720" w:start="2880" w:end="0"/>
        <w:jc w:val="both"/>
        <w:rPr>
          <w:sz w:val="24"/>
        </w:rPr>
      </w:pPr>
      <w:r>
        <w:rPr>
          <w:sz w:val="24"/>
        </w:rPr>
        <w:t>- should “physical” transactions be designated?</w:t>
      </w:r>
    </w:p>
    <w:p>
      <w:pPr>
        <w:pStyle w:val="Normal"/>
        <w:ind w:hanging="2880" w:start="2880" w:end="0"/>
        <w:jc w:val="both"/>
        <w:rPr>
          <w:sz w:val="24"/>
        </w:rPr>
      </w:pPr>
      <w:r>
        <w:rPr>
          <w:sz w:val="24"/>
        </w:rPr>
      </w:r>
    </w:p>
    <w:p>
      <w:pPr>
        <w:pStyle w:val="Normal"/>
        <w:ind w:hanging="720" w:start="2880" w:end="0"/>
        <w:jc w:val="both"/>
        <w:rPr>
          <w:sz w:val="24"/>
        </w:rPr>
      </w:pPr>
      <w:r>
        <w:rPr>
          <w:sz w:val="24"/>
        </w:rPr>
        <w:t>- should a threshold be designated?</w:t>
      </w:r>
    </w:p>
    <w:p>
      <w:pPr>
        <w:pStyle w:val="Normal"/>
        <w:ind w:hanging="2880" w:start="2880" w:end="0"/>
        <w:jc w:val="both"/>
        <w:rPr>
          <w:sz w:val="24"/>
        </w:rPr>
      </w:pPr>
      <w:r>
        <w:rPr>
          <w:sz w:val="24"/>
        </w:rPr>
      </w:r>
    </w:p>
    <w:p>
      <w:pPr>
        <w:pStyle w:val="BodyTextIndent2"/>
        <w:tabs>
          <w:tab w:val="clear" w:pos="1440"/>
          <w:tab w:val="clear" w:pos="1710"/>
          <w:tab w:val="clear" w:pos="2070"/>
          <w:tab w:val="clear" w:pos="2520"/>
          <w:tab w:val="clear" w:pos="3690"/>
          <w:tab w:val="clear" w:pos="3960"/>
        </w:tabs>
        <w:ind w:hanging="720" w:end="0"/>
        <w:jc w:val="both"/>
        <w:rPr/>
      </w:pPr>
      <w:r>
        <w:rPr/>
        <w:t>- should a Specified Entity be designated?</w:t>
      </w:r>
    </w:p>
    <w:p>
      <w:pPr>
        <w:pStyle w:val="Normal"/>
        <w:ind w:hanging="2880" w:start="2880" w:end="0"/>
        <w:jc w:val="both"/>
        <w:rPr>
          <w:sz w:val="24"/>
        </w:rPr>
      </w:pPr>
      <w:r>
        <w:rPr>
          <w:sz w:val="24"/>
        </w:rPr>
      </w:r>
    </w:p>
    <w:p>
      <w:pPr>
        <w:pStyle w:val="Normal"/>
        <w:ind w:start="2160" w:end="0"/>
        <w:jc w:val="both"/>
        <w:rPr/>
      </w:pPr>
      <w:r>
        <w:rPr>
          <w:sz w:val="24"/>
          <w:u w:val="single"/>
        </w:rPr>
        <w:t>Section 5 (a)(vi)</w:t>
      </w:r>
      <w:r>
        <w:rPr>
          <w:sz w:val="24"/>
        </w:rPr>
        <w:t xml:space="preserve"> – Cross Default to Indebtedness – indebtedness means obligations for “borrowed money.”  Should “Payables” be designated as Specified Indebtedness.  What should threshold be?  Cross default or cross acceleration?  Should a Specified Entity be designated?  This event could apply to a party, its Credit Support Provider or any Specified Entity.  The cross default is triggered if (1) there is a payment default (after giving effect to notice and grace periods) in an amount not less than the Threshold Amount or (2) there is another type of default under one or more agreements evidencing indebtedness in an aggregate amount of not less than the Threshold Amount which either has resulted or could result in the acceleration of such indebtedness.  </w:t>
      </w:r>
    </w:p>
    <w:p>
      <w:pPr>
        <w:pStyle w:val="Normal"/>
        <w:ind w:start="2160" w:end="0"/>
        <w:jc w:val="both"/>
        <w:rPr>
          <w:sz w:val="24"/>
          <w:u w:val="single"/>
        </w:rPr>
      </w:pPr>
      <w:r>
        <w:rPr>
          <w:sz w:val="24"/>
          <w:u w:val="single"/>
        </w:rPr>
      </w:r>
    </w:p>
    <w:p>
      <w:pPr>
        <w:pStyle w:val="Normal"/>
        <w:ind w:start="2160" w:end="0"/>
        <w:jc w:val="both"/>
        <w:rPr/>
      </w:pPr>
      <w:r>
        <w:rPr>
          <w:sz w:val="24"/>
          <w:u w:val="single"/>
        </w:rPr>
        <w:t>Section 5(a)(vii)</w:t>
      </w:r>
      <w:r>
        <w:rPr>
          <w:sz w:val="24"/>
        </w:rPr>
        <w:t xml:space="preserve"> – Bankruptcy – applies to each party, to each Credit Support Provider and to any Specified Entity designated.  Includes dissolution.</w:t>
      </w:r>
    </w:p>
    <w:p>
      <w:pPr>
        <w:pStyle w:val="Normal"/>
        <w:ind w:start="2160" w:end="0"/>
        <w:jc w:val="both"/>
        <w:rPr>
          <w:sz w:val="24"/>
        </w:rPr>
      </w:pPr>
      <w:r>
        <w:rPr>
          <w:sz w:val="24"/>
        </w:rPr>
      </w:r>
    </w:p>
    <w:p>
      <w:pPr>
        <w:pStyle w:val="Normal"/>
        <w:ind w:start="2160" w:end="0"/>
        <w:jc w:val="both"/>
        <w:rPr>
          <w:sz w:val="24"/>
        </w:rPr>
      </w:pPr>
      <w:r>
        <w:rPr>
          <w:sz w:val="24"/>
        </w:rPr>
        <w:t xml:space="preserve"> – </w:t>
      </w:r>
      <w:r>
        <w:rPr>
          <w:sz w:val="24"/>
        </w:rPr>
        <w:t>should Specified Entity be designated?</w:t>
      </w:r>
    </w:p>
    <w:p>
      <w:pPr>
        <w:pStyle w:val="Normal"/>
        <w:ind w:hanging="2880" w:start="2880" w:end="0"/>
        <w:jc w:val="both"/>
        <w:rPr>
          <w:sz w:val="24"/>
          <w:u w:val="single"/>
        </w:rPr>
      </w:pPr>
      <w:r>
        <w:rPr>
          <w:sz w:val="24"/>
          <w:u w:val="single"/>
        </w:rPr>
      </w:r>
    </w:p>
    <w:p>
      <w:pPr>
        <w:pStyle w:val="BodyTextIndent2"/>
        <w:tabs>
          <w:tab w:val="clear" w:pos="1440"/>
          <w:tab w:val="clear" w:pos="1710"/>
          <w:tab w:val="clear" w:pos="2070"/>
          <w:tab w:val="clear" w:pos="2520"/>
          <w:tab w:val="clear" w:pos="3690"/>
          <w:tab w:val="clear" w:pos="3960"/>
        </w:tabs>
        <w:ind w:hanging="0" w:start="2160" w:end="0"/>
        <w:jc w:val="both"/>
        <w:rPr/>
      </w:pPr>
      <w:r>
        <w:rPr>
          <w:u w:val="single"/>
        </w:rPr>
        <w:t>Section 5(a)(viii)</w:t>
      </w:r>
      <w:r>
        <w:rPr/>
        <w:t xml:space="preserve"> – Merger Without Assumption – only applies to each party and each Credit Support Provider.  Is triggered upon a merger or sale of assets and either (1) a failure of the resulting/transferee party to assume obligations under the Master or (2) the failure of any Credit Support Document to support the obligations of any resulting/transferee entity </w:t>
      </w:r>
    </w:p>
    <w:p>
      <w:pPr>
        <w:pStyle w:val="Normal"/>
        <w:ind w:hanging="2880" w:start="2880" w:end="0"/>
        <w:jc w:val="both"/>
        <w:rPr>
          <w:sz w:val="24"/>
        </w:rPr>
      </w:pPr>
      <w:r>
        <w:rPr>
          <w:sz w:val="24"/>
        </w:rPr>
      </w:r>
    </w:p>
    <w:p>
      <w:pPr>
        <w:pStyle w:val="Normal"/>
        <w:ind w:hanging="720" w:start="2160" w:end="0"/>
        <w:jc w:val="both"/>
        <w:rPr/>
      </w:pPr>
      <w:r>
        <w:rPr>
          <w:sz w:val="24"/>
        </w:rPr>
        <w:t>e)</w:t>
        <w:tab/>
      </w:r>
      <w:r>
        <w:rPr>
          <w:sz w:val="24"/>
          <w:u w:val="single"/>
        </w:rPr>
        <w:t>Termination Events</w:t>
      </w:r>
      <w:r>
        <w:rPr>
          <w:sz w:val="24"/>
        </w:rPr>
        <w:t xml:space="preserve"> – can apply to each party, each Credit Support Provider and any Specified Entity</w:t>
      </w:r>
    </w:p>
    <w:p>
      <w:pPr>
        <w:pStyle w:val="Normal"/>
        <w:ind w:hanging="2160" w:start="2160" w:end="0"/>
        <w:jc w:val="both"/>
        <w:rPr>
          <w:sz w:val="24"/>
          <w:u w:val="single"/>
        </w:rPr>
      </w:pPr>
      <w:r>
        <w:rPr>
          <w:sz w:val="24"/>
          <w:u w:val="single"/>
        </w:rPr>
      </w:r>
    </w:p>
    <w:p>
      <w:pPr>
        <w:pStyle w:val="Normal"/>
        <w:ind w:hanging="2160" w:start="2160" w:end="0"/>
        <w:jc w:val="both"/>
        <w:rPr>
          <w:sz w:val="24"/>
        </w:rPr>
      </w:pPr>
      <w:r>
        <w:rPr>
          <w:sz w:val="24"/>
        </w:rPr>
        <w:tab/>
        <w:t>- should a Specified Entity be designated?</w:t>
      </w:r>
    </w:p>
    <w:p>
      <w:pPr>
        <w:pStyle w:val="Normal"/>
        <w:ind w:hanging="2160" w:start="2160" w:end="0"/>
        <w:jc w:val="both"/>
        <w:rPr>
          <w:sz w:val="24"/>
        </w:rPr>
      </w:pPr>
      <w:r>
        <w:rPr>
          <w:sz w:val="24"/>
        </w:rPr>
      </w:r>
    </w:p>
    <w:p>
      <w:pPr>
        <w:pStyle w:val="Normal"/>
        <w:ind w:start="2160" w:end="0"/>
        <w:jc w:val="both"/>
        <w:rPr/>
      </w:pPr>
      <w:r>
        <w:rPr>
          <w:sz w:val="24"/>
          <w:u w:val="single"/>
        </w:rPr>
        <w:t>Section 5(b)(iv)</w:t>
      </w:r>
      <w:r>
        <w:rPr>
          <w:sz w:val="24"/>
        </w:rPr>
        <w:t xml:space="preserve"> – Credit Event Upon Merger.  Triggered if there is a merger or asset sale and the resulting/transferee entity is “materially weaker.”  We provide for certain carve outs in our schedule if credit support documents remain in place or if collateral is posted.</w:t>
      </w:r>
    </w:p>
    <w:p>
      <w:pPr>
        <w:pStyle w:val="Normal"/>
        <w:ind w:hanging="2160" w:start="2160" w:end="0"/>
        <w:jc w:val="both"/>
        <w:rPr>
          <w:sz w:val="24"/>
          <w:u w:val="single"/>
        </w:rPr>
      </w:pPr>
      <w:r>
        <w:rPr>
          <w:sz w:val="24"/>
          <w:u w:val="single"/>
        </w:rPr>
      </w:r>
    </w:p>
    <w:p>
      <w:pPr>
        <w:pStyle w:val="Normal"/>
        <w:ind w:start="2160" w:end="0"/>
        <w:jc w:val="both"/>
        <w:rPr>
          <w:sz w:val="24"/>
          <w:u w:val="single"/>
        </w:rPr>
      </w:pPr>
      <w:r>
        <w:rPr>
          <w:sz w:val="24"/>
          <w:u w:val="single"/>
        </w:rPr>
      </w:r>
    </w:p>
    <w:p>
      <w:pPr>
        <w:pStyle w:val="Normal"/>
        <w:ind w:start="2160" w:end="0"/>
        <w:jc w:val="both"/>
        <w:rPr>
          <w:sz w:val="24"/>
        </w:rPr>
      </w:pPr>
      <w:r>
        <w:rPr>
          <w:sz w:val="24"/>
        </w:rPr>
        <w:t xml:space="preserve"> – </w:t>
      </w:r>
      <w:r>
        <w:rPr>
          <w:sz w:val="24"/>
        </w:rPr>
        <w:t>should “materially weaker” standard be defined more specifically?</w:t>
      </w:r>
    </w:p>
    <w:p>
      <w:pPr>
        <w:pStyle w:val="Normal"/>
        <w:ind w:hanging="2160" w:start="2160" w:end="0"/>
        <w:jc w:val="both"/>
        <w:rPr>
          <w:sz w:val="24"/>
          <w:u w:val="single"/>
        </w:rPr>
      </w:pPr>
      <w:r>
        <w:rPr>
          <w:sz w:val="24"/>
          <w:u w:val="single"/>
        </w:rPr>
      </w:r>
    </w:p>
    <w:p>
      <w:pPr>
        <w:pStyle w:val="Normal"/>
        <w:ind w:hanging="720" w:start="2160" w:end="0"/>
        <w:jc w:val="both"/>
        <w:rPr/>
      </w:pPr>
      <w:r>
        <w:rPr>
          <w:sz w:val="24"/>
        </w:rPr>
        <w:tab/>
      </w:r>
      <w:r>
        <w:rPr>
          <w:sz w:val="24"/>
          <w:u w:val="single"/>
        </w:rPr>
        <w:t>Section 5(b)(v)</w:t>
      </w:r>
      <w:r>
        <w:rPr>
          <w:sz w:val="24"/>
        </w:rPr>
        <w:t xml:space="preserve"> – Additional Termination Events – what additional events of termination should there be?  What type of counterparties need additional termination events (i.e., utilities, limited partnerships, etc.)?</w:t>
      </w:r>
    </w:p>
    <w:p>
      <w:pPr>
        <w:pStyle w:val="Normal"/>
        <w:ind w:hanging="2880" w:start="2880" w:end="0"/>
        <w:jc w:val="both"/>
        <w:rPr>
          <w:sz w:val="24"/>
          <w:u w:val="single"/>
        </w:rPr>
      </w:pPr>
      <w:r>
        <w:rPr>
          <w:sz w:val="24"/>
          <w:u w:val="single"/>
        </w:rPr>
      </w:r>
    </w:p>
    <w:p>
      <w:pPr>
        <w:pStyle w:val="Normal"/>
        <w:ind w:start="2160" w:end="0"/>
        <w:jc w:val="both"/>
        <w:rPr>
          <w:sz w:val="24"/>
        </w:rPr>
      </w:pPr>
      <w:r>
        <w:rPr>
          <w:sz w:val="24"/>
        </w:rPr>
        <w:t>Consider as additional termination events or events of default the following:  change of control, material adverse change (if there is no credit support annex) etc.</w:t>
      </w:r>
      <w:r>
        <w:br w:type="page"/>
      </w:r>
    </w:p>
    <w:p>
      <w:pPr>
        <w:pStyle w:val="Normal"/>
        <w:ind w:hanging="2880" w:start="2880" w:end="0"/>
        <w:jc w:val="both"/>
        <w:rPr>
          <w:sz w:val="24"/>
        </w:rPr>
      </w:pPr>
      <w:r>
        <w:rPr>
          <w:sz w:val="24"/>
        </w:rPr>
      </w:r>
    </w:p>
    <w:p>
      <w:pPr>
        <w:pStyle w:val="Normal"/>
        <w:ind w:firstLine="720" w:start="720" w:end="0"/>
        <w:jc w:val="both"/>
        <w:rPr>
          <w:sz w:val="24"/>
        </w:rPr>
      </w:pPr>
      <w:r>
        <w:rPr>
          <w:sz w:val="24"/>
        </w:rPr>
        <w:t>f)</w:t>
        <w:tab/>
      </w:r>
      <w:r>
        <w:rPr>
          <w:sz w:val="24"/>
          <w:u w:val="single"/>
        </w:rPr>
        <w:t>Designating an Early Termination Date</w:t>
      </w:r>
    </w:p>
    <w:p>
      <w:pPr>
        <w:pStyle w:val="Normal"/>
        <w:ind w:hanging="2880" w:start="2880" w:end="0"/>
        <w:jc w:val="both"/>
        <w:rPr>
          <w:sz w:val="24"/>
        </w:rPr>
      </w:pPr>
      <w:r>
        <w:rPr>
          <w:sz w:val="24"/>
        </w:rPr>
      </w:r>
    </w:p>
    <w:p>
      <w:pPr>
        <w:pStyle w:val="Normal"/>
        <w:ind w:start="2160" w:end="0"/>
        <w:jc w:val="both"/>
        <w:rPr>
          <w:sz w:val="24"/>
        </w:rPr>
      </w:pPr>
      <w:r>
        <w:rPr>
          <w:sz w:val="24"/>
        </w:rPr>
        <w:t>- requires the occurrence of an Event of Default or Termination Event</w:t>
      </w:r>
    </w:p>
    <w:p>
      <w:pPr>
        <w:pStyle w:val="Normal"/>
        <w:ind w:start="2160" w:end="0"/>
        <w:jc w:val="both"/>
        <w:rPr>
          <w:sz w:val="24"/>
        </w:rPr>
      </w:pPr>
      <w:r>
        <w:rPr>
          <w:sz w:val="24"/>
        </w:rPr>
      </w:r>
    </w:p>
    <w:p>
      <w:pPr>
        <w:pStyle w:val="Normal"/>
        <w:ind w:start="2160" w:end="0"/>
        <w:jc w:val="both"/>
        <w:rPr/>
      </w:pPr>
      <w:r>
        <w:rPr>
          <w:sz w:val="24"/>
        </w:rPr>
        <w:t xml:space="preserve">- results in </w:t>
      </w:r>
      <w:r>
        <w:rPr>
          <w:b/>
          <w:sz w:val="24"/>
        </w:rPr>
        <w:t>all</w:t>
      </w:r>
      <w:r>
        <w:rPr>
          <w:sz w:val="24"/>
        </w:rPr>
        <w:t xml:space="preserve"> Transactions being terminated unless it is a Termination Event that only affects certain Transactions</w:t>
      </w:r>
    </w:p>
    <w:p>
      <w:pPr>
        <w:pStyle w:val="Normal"/>
        <w:ind w:hanging="2880" w:start="2880" w:end="0"/>
        <w:jc w:val="both"/>
        <w:rPr>
          <w:sz w:val="24"/>
        </w:rPr>
      </w:pPr>
      <w:r>
        <w:rPr>
          <w:sz w:val="24"/>
        </w:rPr>
      </w:r>
    </w:p>
    <w:p>
      <w:pPr>
        <w:pStyle w:val="Normal"/>
        <w:ind w:start="2160" w:end="0"/>
        <w:jc w:val="both"/>
        <w:rPr/>
      </w:pPr>
      <w:r>
        <w:rPr>
          <w:sz w:val="24"/>
        </w:rPr>
        <w:t xml:space="preserve">- can be designated at any time (date can’t occur more than 20 days after notice is sent).  </w:t>
      </w:r>
      <w:r>
        <w:rPr>
          <w:b/>
          <w:sz w:val="24"/>
        </w:rPr>
        <w:t>Note:</w:t>
      </w:r>
      <w:r>
        <w:rPr>
          <w:sz w:val="24"/>
        </w:rPr>
        <w:t xml:space="preserve"> - In our Schedule, we elect that “Automatic Early Termination” should </w:t>
      </w:r>
      <w:r>
        <w:rPr>
          <w:b/>
          <w:bCs/>
          <w:sz w:val="24"/>
        </w:rPr>
        <w:t>not</w:t>
      </w:r>
      <w:r>
        <w:rPr>
          <w:sz w:val="24"/>
        </w:rPr>
        <w:t xml:space="preserve"> apply so bankruptcy does </w:t>
      </w:r>
      <w:r>
        <w:rPr>
          <w:b/>
          <w:sz w:val="24"/>
        </w:rPr>
        <w:t>not</w:t>
      </w:r>
      <w:r>
        <w:rPr>
          <w:sz w:val="24"/>
        </w:rPr>
        <w:t xml:space="preserve"> result in automatic termination</w:t>
      </w:r>
    </w:p>
    <w:p>
      <w:pPr>
        <w:pStyle w:val="BodyTextIndent2"/>
        <w:tabs>
          <w:tab w:val="clear" w:pos="1440"/>
          <w:tab w:val="clear" w:pos="1710"/>
          <w:tab w:val="clear" w:pos="2070"/>
          <w:tab w:val="clear" w:pos="2520"/>
          <w:tab w:val="clear" w:pos="3690"/>
          <w:tab w:val="clear" w:pos="3960"/>
        </w:tabs>
        <w:jc w:val="both"/>
        <w:rPr>
          <w:sz w:val="24"/>
        </w:rPr>
      </w:pPr>
      <w:r>
        <w:rPr>
          <w:sz w:val="24"/>
        </w:rPr>
      </w:r>
    </w:p>
    <w:p>
      <w:pPr>
        <w:pStyle w:val="BodyTextIndent2"/>
        <w:tabs>
          <w:tab w:val="clear" w:pos="1440"/>
          <w:tab w:val="clear" w:pos="1710"/>
          <w:tab w:val="clear" w:pos="2070"/>
          <w:tab w:val="clear" w:pos="2520"/>
          <w:tab w:val="clear" w:pos="3690"/>
          <w:tab w:val="clear" w:pos="3960"/>
        </w:tabs>
        <w:ind w:start="2160" w:end="0"/>
        <w:jc w:val="both"/>
        <w:rPr/>
      </w:pPr>
      <w:r>
        <w:rPr/>
        <w:tab/>
        <w:t>- requires calculation of “Loss” using Loss method or Market Quotation method.  In our Schedule, we elect the “Loss” method.</w:t>
      </w:r>
    </w:p>
    <w:p>
      <w:pPr>
        <w:pStyle w:val="Normal"/>
        <w:ind w:hanging="2880" w:start="2880" w:end="0"/>
        <w:jc w:val="both"/>
        <w:rPr>
          <w:sz w:val="24"/>
        </w:rPr>
      </w:pPr>
      <w:r>
        <w:rPr>
          <w:sz w:val="24"/>
        </w:rPr>
      </w:r>
    </w:p>
    <w:p>
      <w:pPr>
        <w:pStyle w:val="BodyTextIndent2"/>
        <w:tabs>
          <w:tab w:val="clear" w:pos="1440"/>
          <w:tab w:val="clear" w:pos="1710"/>
          <w:tab w:val="clear" w:pos="2070"/>
          <w:tab w:val="clear" w:pos="2520"/>
          <w:tab w:val="clear" w:pos="3690"/>
          <w:tab w:val="clear" w:pos="3960"/>
        </w:tabs>
        <w:ind w:hanging="720" w:end="0"/>
        <w:jc w:val="both"/>
        <w:rPr/>
      </w:pPr>
      <w:r>
        <w:rPr/>
        <w:t>- how is decision to terminate made?</w:t>
      </w:r>
    </w:p>
    <w:p>
      <w:pPr>
        <w:pStyle w:val="Normal"/>
        <w:ind w:hanging="2880" w:start="2880" w:end="0"/>
        <w:jc w:val="both"/>
        <w:rPr>
          <w:sz w:val="24"/>
        </w:rPr>
      </w:pPr>
      <w:r>
        <w:rPr>
          <w:sz w:val="24"/>
        </w:rPr>
      </w:r>
    </w:p>
    <w:p>
      <w:pPr>
        <w:pStyle w:val="Normal"/>
        <w:ind w:start="2160" w:end="0"/>
        <w:jc w:val="both"/>
        <w:rPr>
          <w:sz w:val="24"/>
        </w:rPr>
      </w:pPr>
      <w:r>
        <w:rPr>
          <w:sz w:val="24"/>
        </w:rPr>
        <w:t>- termination amount calculation needs to be supported (i.e., work papers, market quotes, etc.)</w:t>
      </w:r>
    </w:p>
    <w:p>
      <w:pPr>
        <w:pStyle w:val="Normal"/>
        <w:ind w:hanging="2880" w:start="2880" w:end="0"/>
        <w:jc w:val="both"/>
        <w:rPr>
          <w:sz w:val="24"/>
        </w:rPr>
      </w:pPr>
      <w:r>
        <w:rPr>
          <w:sz w:val="24"/>
        </w:rPr>
      </w:r>
    </w:p>
    <w:p>
      <w:pPr>
        <w:pStyle w:val="BodyTextIndent3"/>
        <w:numPr>
          <w:ilvl w:val="0"/>
          <w:numId w:val="3"/>
        </w:numPr>
        <w:tabs>
          <w:tab w:val="clear" w:pos="720"/>
        </w:tabs>
        <w:ind w:hanging="720" w:start="2160" w:end="0"/>
        <w:jc w:val="both"/>
        <w:rPr/>
      </w:pPr>
      <w:r>
        <w:rPr>
          <w:u w:val="single"/>
        </w:rPr>
        <w:t>Reporting</w:t>
      </w:r>
      <w:r>
        <w:rPr/>
        <w:t xml:space="preserve"> – what type of reporting information do we want?  (financials, reserve reports, etc.)</w:t>
      </w:r>
    </w:p>
    <w:p>
      <w:pPr>
        <w:pStyle w:val="BodyTextIndent3"/>
        <w:tabs>
          <w:tab w:val="clear" w:pos="720"/>
        </w:tabs>
        <w:ind w:hanging="0" w:end="0"/>
        <w:jc w:val="both"/>
        <w:rPr/>
      </w:pPr>
      <w:r>
        <w:rPr/>
      </w:r>
    </w:p>
    <w:p>
      <w:pPr>
        <w:pStyle w:val="BodyTextIndent3"/>
        <w:tabs>
          <w:tab w:val="clear" w:pos="720"/>
        </w:tabs>
        <w:ind w:hanging="0" w:start="2160" w:end="0"/>
        <w:jc w:val="both"/>
        <w:rPr/>
      </w:pPr>
      <w:r>
        <w:rPr>
          <w:u w:val="single"/>
        </w:rPr>
        <w:t>Set off</w:t>
      </w:r>
      <w:r>
        <w:rPr/>
        <w:t xml:space="preserve"> – This right is triggered once an Early Termination Date is designated.  The language in our Schedule contemplates that setoff rights apply to relationships (i.e., financial and physical transactions) that the Non-Defaulting Party and its “Affiliates” have with the Defaulting Party and vice versa.  </w:t>
      </w:r>
    </w:p>
    <w:p>
      <w:pPr>
        <w:pStyle w:val="Normal"/>
        <w:ind w:start="1800" w:end="0"/>
        <w:jc w:val="both"/>
        <w:rPr>
          <w:sz w:val="24"/>
          <w:u w:val="single"/>
        </w:rPr>
      </w:pPr>
      <w:r>
        <w:rPr>
          <w:sz w:val="24"/>
          <w:u w:val="single"/>
        </w:rPr>
      </w:r>
    </w:p>
    <w:p>
      <w:pPr>
        <w:pStyle w:val="Normal"/>
        <w:ind w:start="2160" w:end="0"/>
        <w:jc w:val="both"/>
        <w:rPr/>
      </w:pPr>
      <w:r>
        <w:rPr>
          <w:sz w:val="24"/>
          <w:u w:val="single"/>
        </w:rPr>
        <w:t>Transferability by Counterparty</w:t>
      </w:r>
      <w:r>
        <w:rPr>
          <w:sz w:val="24"/>
        </w:rPr>
        <w:t xml:space="preserve"> – Section 7 of ISDA Master generally permits certain types of transfers in connection with a merger or sale of assets.  What other types of transfers should be permitted?  We generally allow “affiliate” transfers so long as credit support documents (i.e. guaranty) remain in place.</w:t>
      </w:r>
      <w:r>
        <w:br w:type="page"/>
      </w:r>
    </w:p>
    <w:p>
      <w:pPr>
        <w:pStyle w:val="Normal"/>
        <w:ind w:hanging="1440" w:start="1440" w:end="0"/>
        <w:jc w:val="both"/>
        <w:rPr>
          <w:sz w:val="24"/>
        </w:rPr>
      </w:pPr>
      <w:r>
        <w:rPr>
          <w:sz w:val="24"/>
        </w:rPr>
      </w:r>
    </w:p>
    <w:p>
      <w:pPr>
        <w:pStyle w:val="Heading1"/>
        <w:tabs>
          <w:tab w:val="clear" w:pos="720"/>
        </w:tabs>
        <w:ind w:hanging="0" w:start="0" w:end="0"/>
        <w:rPr/>
      </w:pPr>
      <w:r>
        <w:rPr/>
        <w:t>B.</w:t>
        <w:tab/>
      </w:r>
      <w:r>
        <w:rPr>
          <w:u w:val="single"/>
        </w:rPr>
        <w:t>Credit Support Annex/Schedule Issues</w:t>
      </w:r>
    </w:p>
    <w:p>
      <w:pPr>
        <w:pStyle w:val="Normal"/>
        <w:ind w:hanging="2880" w:start="2880" w:end="0"/>
        <w:jc w:val="both"/>
        <w:rPr>
          <w:sz w:val="24"/>
          <w:u w:val="single"/>
        </w:rPr>
      </w:pPr>
      <w:r>
        <w:rPr>
          <w:sz w:val="24"/>
          <w:u w:val="single"/>
        </w:rPr>
      </w:r>
    </w:p>
    <w:p>
      <w:pPr>
        <w:pStyle w:val="Normal"/>
        <w:numPr>
          <w:ilvl w:val="0"/>
          <w:numId w:val="2"/>
        </w:numPr>
        <w:jc w:val="both"/>
        <w:rPr>
          <w:sz w:val="24"/>
          <w:u w:val="single"/>
        </w:rPr>
      </w:pPr>
      <w:r>
        <w:rPr>
          <w:sz w:val="24"/>
          <w:u w:val="single"/>
        </w:rPr>
        <w:t>Delivery Amount, Return Amount, Credit Support Amount and Minimum Transfer Amount</w:t>
      </w:r>
    </w:p>
    <w:p>
      <w:pPr>
        <w:pStyle w:val="Normal"/>
        <w:jc w:val="both"/>
        <w:rPr>
          <w:sz w:val="24"/>
          <w:u w:val="single"/>
        </w:rPr>
      </w:pPr>
      <w:r>
        <w:rPr>
          <w:sz w:val="24"/>
          <w:u w:val="single"/>
        </w:rPr>
      </w:r>
    </w:p>
    <w:p>
      <w:pPr>
        <w:pStyle w:val="Normal"/>
        <w:ind w:start="1440" w:end="0"/>
        <w:jc w:val="both"/>
        <w:rPr/>
      </w:pPr>
      <w:r>
        <w:rPr>
          <w:sz w:val="24"/>
          <w:u w:val="single"/>
        </w:rPr>
        <w:t>Delivery Amount</w:t>
      </w:r>
      <w:r>
        <w:rPr>
          <w:sz w:val="24"/>
        </w:rPr>
        <w:t xml:space="preserve"> – the amount which the “Pledgor” needs to post as collateral.  Excess of Credit Support Amount </w:t>
      </w:r>
      <w:r>
        <w:rPr>
          <w:b/>
          <w:sz w:val="24"/>
          <w:u w:val="single"/>
        </w:rPr>
        <w:t>over</w:t>
      </w:r>
      <w:r>
        <w:rPr>
          <w:sz w:val="24"/>
        </w:rPr>
        <w:t xml:space="preserve"> Value of Posted Collateral.  (Subject to Minimum Transfer Amount)</w:t>
      </w:r>
    </w:p>
    <w:p>
      <w:pPr>
        <w:pStyle w:val="Normal"/>
        <w:ind w:start="1440" w:end="0"/>
        <w:jc w:val="both"/>
        <w:rPr>
          <w:sz w:val="24"/>
        </w:rPr>
      </w:pPr>
      <w:r>
        <w:rPr>
          <w:sz w:val="24"/>
        </w:rPr>
      </w:r>
    </w:p>
    <w:p>
      <w:pPr>
        <w:pStyle w:val="Normal"/>
        <w:ind w:start="1440" w:end="0"/>
        <w:jc w:val="both"/>
        <w:rPr/>
      </w:pPr>
      <w:r>
        <w:rPr>
          <w:sz w:val="24"/>
          <w:u w:val="single"/>
        </w:rPr>
        <w:t>Credit Support Amount</w:t>
      </w:r>
      <w:r>
        <w:rPr>
          <w:sz w:val="24"/>
        </w:rPr>
        <w:t xml:space="preserve"> – Exposure </w:t>
      </w:r>
      <w:r>
        <w:rPr>
          <w:b/>
          <w:sz w:val="24"/>
          <w:u w:val="single"/>
        </w:rPr>
        <w:t>plus</w:t>
      </w:r>
      <w:r>
        <w:rPr>
          <w:sz w:val="24"/>
        </w:rPr>
        <w:t xml:space="preserve"> Pledgor’s Independent Amount </w:t>
      </w:r>
      <w:r>
        <w:rPr>
          <w:b/>
          <w:sz w:val="24"/>
          <w:u w:val="single"/>
        </w:rPr>
        <w:t>minus</w:t>
      </w:r>
      <w:r>
        <w:rPr>
          <w:sz w:val="24"/>
        </w:rPr>
        <w:t xml:space="preserve"> Threshold </w:t>
      </w:r>
      <w:r>
        <w:rPr>
          <w:b/>
          <w:sz w:val="24"/>
          <w:u w:val="single"/>
        </w:rPr>
        <w:t>minus</w:t>
      </w:r>
      <w:r>
        <w:rPr>
          <w:sz w:val="24"/>
        </w:rPr>
        <w:t xml:space="preserve"> Secured Party’s Independent Amount.  (Subject to Minimum Transfer Amount)</w:t>
      </w:r>
    </w:p>
    <w:p>
      <w:pPr>
        <w:pStyle w:val="Normal"/>
        <w:ind w:start="1440" w:end="0"/>
        <w:jc w:val="both"/>
        <w:rPr>
          <w:sz w:val="24"/>
        </w:rPr>
      </w:pPr>
      <w:r>
        <w:rPr>
          <w:sz w:val="24"/>
        </w:rPr>
      </w:r>
    </w:p>
    <w:p>
      <w:pPr>
        <w:pStyle w:val="Normal"/>
        <w:ind w:start="1440" w:end="0"/>
        <w:jc w:val="both"/>
        <w:rPr/>
      </w:pPr>
      <w:r>
        <w:rPr>
          <w:sz w:val="24"/>
          <w:u w:val="single"/>
        </w:rPr>
        <w:t>Return Amount</w:t>
      </w:r>
      <w:r>
        <w:rPr>
          <w:sz w:val="24"/>
        </w:rPr>
        <w:t xml:space="preserve"> – the amount of collateral “Secured Party” needs to return to Pledgor.  Excess of Value of Posted Collateral </w:t>
      </w:r>
      <w:r>
        <w:rPr>
          <w:b/>
          <w:sz w:val="24"/>
          <w:u w:val="single"/>
        </w:rPr>
        <w:t>over</w:t>
      </w:r>
      <w:r>
        <w:rPr>
          <w:sz w:val="24"/>
        </w:rPr>
        <w:t xml:space="preserve"> Credit Support Amount.  (Subject to Minimum Transfer Amount)</w:t>
      </w:r>
    </w:p>
    <w:p>
      <w:pPr>
        <w:pStyle w:val="Normal"/>
        <w:ind w:start="1440" w:end="0"/>
        <w:jc w:val="both"/>
        <w:rPr>
          <w:sz w:val="24"/>
        </w:rPr>
      </w:pPr>
      <w:r>
        <w:rPr>
          <w:sz w:val="24"/>
        </w:rPr>
      </w:r>
    </w:p>
    <w:p>
      <w:pPr>
        <w:pStyle w:val="Normal"/>
        <w:ind w:start="1440" w:end="0"/>
        <w:jc w:val="both"/>
        <w:rPr/>
      </w:pPr>
      <w:r>
        <w:rPr>
          <w:sz w:val="24"/>
          <w:u w:val="single"/>
        </w:rPr>
        <w:t>Minimum Transfer Amount</w:t>
      </w:r>
      <w:r>
        <w:rPr>
          <w:sz w:val="24"/>
        </w:rPr>
        <w:t xml:space="preserve"> – acts as an additional threshold for purposes of determining the Delivery Amount and the Return Amount, except that once collateral is required to be posted, the amount posted will include the Minimum Transfer Amount.  Our Schedule designates a Minimum Transfer Amount of $1.</w:t>
      </w:r>
    </w:p>
    <w:p>
      <w:pPr>
        <w:pStyle w:val="Normal"/>
        <w:ind w:start="1440" w:end="0"/>
        <w:jc w:val="both"/>
        <w:rPr>
          <w:sz w:val="24"/>
        </w:rPr>
      </w:pPr>
      <w:r>
        <w:rPr>
          <w:sz w:val="24"/>
        </w:rPr>
      </w:r>
    </w:p>
    <w:p>
      <w:pPr>
        <w:pStyle w:val="Normal"/>
        <w:ind w:start="1440" w:end="0"/>
        <w:jc w:val="both"/>
        <w:rPr/>
      </w:pPr>
      <w:r>
        <w:rPr>
          <w:sz w:val="24"/>
          <w:u w:val="single"/>
        </w:rPr>
        <w:t>Rounding</w:t>
      </w:r>
      <w:r>
        <w:rPr>
          <w:sz w:val="24"/>
        </w:rPr>
        <w:t xml:space="preserve"> – specified in schedule.</w:t>
      </w:r>
    </w:p>
    <w:p>
      <w:pPr>
        <w:pStyle w:val="Normal"/>
        <w:ind w:start="1440" w:end="0"/>
        <w:jc w:val="both"/>
        <w:rPr>
          <w:sz w:val="24"/>
        </w:rPr>
      </w:pPr>
      <w:r>
        <w:rPr>
          <w:sz w:val="24"/>
        </w:rPr>
      </w:r>
    </w:p>
    <w:p>
      <w:pPr>
        <w:pStyle w:val="Normal"/>
        <w:ind w:start="1440" w:end="0"/>
        <w:jc w:val="both"/>
        <w:rPr/>
      </w:pPr>
      <w:r>
        <w:rPr>
          <w:sz w:val="24"/>
          <w:u w:val="single"/>
        </w:rPr>
        <w:t>Independent Amount</w:t>
      </w:r>
      <w:r>
        <w:rPr>
          <w:sz w:val="24"/>
        </w:rPr>
        <w:t xml:space="preserve"> – specified in schedule.  Our Schedule contains language that permits us to hold on to the Independent Amount until all obligations are satisfied even if there are times when we have no Exposure to our Counterparty.</w:t>
      </w:r>
    </w:p>
    <w:p>
      <w:pPr>
        <w:pStyle w:val="Normal"/>
        <w:ind w:start="1440" w:end="0"/>
        <w:jc w:val="both"/>
        <w:rPr>
          <w:sz w:val="24"/>
        </w:rPr>
      </w:pPr>
      <w:r>
        <w:rPr>
          <w:sz w:val="24"/>
        </w:rPr>
      </w:r>
    </w:p>
    <w:p>
      <w:pPr>
        <w:pStyle w:val="Normal"/>
        <w:ind w:start="1440" w:end="0"/>
        <w:jc w:val="both"/>
        <w:rPr/>
      </w:pPr>
      <w:r>
        <w:rPr>
          <w:sz w:val="24"/>
          <w:u w:val="single"/>
        </w:rPr>
        <w:t>Collateral Threshold</w:t>
      </w:r>
      <w:r>
        <w:rPr>
          <w:sz w:val="24"/>
        </w:rPr>
        <w:t xml:space="preserve"> – specified in Schedule.  In the Schedule, the occurrence of an Event of Default, a Potential Event of Default or a Material Adverse Change reduces the collateral threshold to </w:t>
      </w:r>
      <w:r>
        <w:rPr>
          <w:sz w:val="24"/>
          <w:u w:val="single"/>
        </w:rPr>
        <w:t>zero.</w:t>
      </w:r>
      <w:r>
        <w:rPr>
          <w:sz w:val="24"/>
        </w:rPr>
        <w:t xml:space="preserve"> </w:t>
      </w:r>
    </w:p>
    <w:p>
      <w:pPr>
        <w:pStyle w:val="Normal"/>
        <w:jc w:val="both"/>
        <w:rPr>
          <w:sz w:val="24"/>
        </w:rPr>
      </w:pPr>
      <w:r>
        <w:rPr>
          <w:sz w:val="24"/>
        </w:rPr>
      </w:r>
    </w:p>
    <w:p>
      <w:pPr>
        <w:pStyle w:val="Normal"/>
        <w:numPr>
          <w:ilvl w:val="0"/>
          <w:numId w:val="2"/>
        </w:numPr>
        <w:jc w:val="both"/>
        <w:rPr>
          <w:sz w:val="24"/>
        </w:rPr>
      </w:pPr>
      <w:r>
        <w:rPr>
          <w:sz w:val="24"/>
          <w:u w:val="single"/>
        </w:rPr>
        <w:t>Transfer Timing</w:t>
      </w:r>
      <w:r>
        <w:rPr>
          <w:sz w:val="24"/>
        </w:rPr>
        <w:t xml:space="preserve"> – if demand for collateral delivery or return is made by the “Notification Time,” collateral transfer must be made by close of business of </w:t>
      </w:r>
      <w:r>
        <w:rPr>
          <w:sz w:val="24"/>
          <w:u w:val="single"/>
        </w:rPr>
        <w:t>next</w:t>
      </w:r>
      <w:r>
        <w:rPr>
          <w:sz w:val="24"/>
        </w:rPr>
        <w:t xml:space="preserve"> Business Day.  If demand is made after the “Notification Time,” collateral transfer must be made by close of business on </w:t>
      </w:r>
      <w:r>
        <w:rPr>
          <w:sz w:val="24"/>
          <w:u w:val="single"/>
        </w:rPr>
        <w:t xml:space="preserve">second </w:t>
      </w:r>
      <w:r>
        <w:rPr>
          <w:sz w:val="24"/>
        </w:rPr>
        <w:t>Business Day.  We specify Notification Time in our Schedule.  (Currently 10:00 a.m. New York time).  Should we specify a later time?</w:t>
      </w:r>
    </w:p>
    <w:p>
      <w:pPr>
        <w:pStyle w:val="Normal"/>
        <w:ind w:hanging="2880" w:start="2880" w:end="0"/>
        <w:jc w:val="both"/>
        <w:rPr>
          <w:sz w:val="24"/>
        </w:rPr>
      </w:pPr>
      <w:r>
        <w:rPr>
          <w:sz w:val="24"/>
        </w:rPr>
        <w:tab/>
      </w:r>
    </w:p>
    <w:p>
      <w:pPr>
        <w:pStyle w:val="Normal"/>
        <w:numPr>
          <w:ilvl w:val="0"/>
          <w:numId w:val="2"/>
        </w:numPr>
        <w:jc w:val="both"/>
        <w:rPr>
          <w:sz w:val="24"/>
        </w:rPr>
      </w:pPr>
      <w:r>
        <w:rPr>
          <w:sz w:val="24"/>
          <w:u w:val="single"/>
        </w:rPr>
        <w:t>Exposure/Collateral Valuations</w:t>
      </w:r>
    </w:p>
    <w:p>
      <w:pPr>
        <w:pStyle w:val="Normal"/>
        <w:jc w:val="both"/>
        <w:rPr>
          <w:sz w:val="24"/>
        </w:rPr>
      </w:pPr>
      <w:r>
        <w:rPr>
          <w:sz w:val="24"/>
        </w:rPr>
      </w:r>
    </w:p>
    <w:p>
      <w:pPr>
        <w:pStyle w:val="Normal"/>
        <w:ind w:start="1440" w:end="0"/>
        <w:jc w:val="both"/>
        <w:rPr/>
      </w:pPr>
      <w:r>
        <w:rPr>
          <w:sz w:val="24"/>
        </w:rPr>
        <w:t xml:space="preserve">- All calculations of Exposure and Value are made as of the Valuation Time on any Valuation Date.  We specify Valuation Time as of the close of business on the Business Day </w:t>
      </w:r>
      <w:r>
        <w:rPr>
          <w:sz w:val="24"/>
          <w:u w:val="single"/>
        </w:rPr>
        <w:t>before</w:t>
      </w:r>
      <w:r>
        <w:rPr>
          <w:sz w:val="24"/>
        </w:rPr>
        <w:t xml:space="preserve"> the Valuation Date.  Valuation Date is any Business Day.  Notices of valuations should be sent no later than the Notification Time on the Business Day </w:t>
      </w:r>
      <w:r>
        <w:rPr>
          <w:sz w:val="24"/>
          <w:u w:val="single"/>
        </w:rPr>
        <w:t>following</w:t>
      </w:r>
      <w:r>
        <w:rPr>
          <w:sz w:val="24"/>
        </w:rPr>
        <w:t xml:space="preserve"> the Valuation Date.</w:t>
      </w:r>
    </w:p>
    <w:p>
      <w:pPr>
        <w:pStyle w:val="Normal"/>
        <w:ind w:start="1440" w:end="0"/>
        <w:jc w:val="both"/>
        <w:rPr>
          <w:sz w:val="24"/>
        </w:rPr>
      </w:pPr>
      <w:r>
        <w:rPr>
          <w:sz w:val="24"/>
        </w:rPr>
      </w:r>
    </w:p>
    <w:p>
      <w:pPr>
        <w:pStyle w:val="Normal"/>
        <w:ind w:start="1440" w:end="0"/>
        <w:jc w:val="both"/>
        <w:rPr>
          <w:sz w:val="24"/>
        </w:rPr>
      </w:pPr>
      <w:r>
        <w:rPr>
          <w:sz w:val="24"/>
        </w:rPr>
        <w:t>Valuation Time → Valuation Date → Notice</w:t>
      </w:r>
    </w:p>
    <w:p>
      <w:pPr>
        <w:pStyle w:val="Normal"/>
        <w:ind w:start="1440" w:end="0"/>
        <w:jc w:val="both"/>
        <w:rPr>
          <w:sz w:val="24"/>
        </w:rPr>
      </w:pPr>
      <w:r>
        <w:rPr>
          <w:sz w:val="24"/>
        </w:rPr>
      </w:r>
    </w:p>
    <w:p>
      <w:pPr>
        <w:pStyle w:val="Normal"/>
        <w:ind w:start="1440" w:end="0"/>
        <w:jc w:val="both"/>
        <w:rPr>
          <w:sz w:val="24"/>
        </w:rPr>
      </w:pPr>
      <w:r>
        <w:rPr>
          <w:sz w:val="24"/>
        </w:rPr>
      </w:r>
    </w:p>
    <w:p>
      <w:pPr>
        <w:pStyle w:val="Normal"/>
        <w:numPr>
          <w:ilvl w:val="0"/>
          <w:numId w:val="2"/>
        </w:numPr>
        <w:jc w:val="both"/>
        <w:rPr>
          <w:sz w:val="24"/>
        </w:rPr>
      </w:pPr>
      <w:r>
        <w:rPr>
          <w:sz w:val="24"/>
          <w:u w:val="single"/>
        </w:rPr>
        <w:t>Enforcement of Collateral Rights</w:t>
      </w:r>
    </w:p>
    <w:p>
      <w:pPr>
        <w:pStyle w:val="Normal"/>
        <w:jc w:val="both"/>
        <w:rPr>
          <w:sz w:val="24"/>
        </w:rPr>
      </w:pPr>
      <w:r>
        <w:rPr>
          <w:sz w:val="24"/>
        </w:rPr>
      </w:r>
    </w:p>
    <w:p>
      <w:pPr>
        <w:pStyle w:val="Normal"/>
        <w:ind w:start="1440" w:end="0"/>
        <w:jc w:val="both"/>
        <w:rPr/>
      </w:pPr>
      <w:r>
        <w:rPr>
          <w:sz w:val="24"/>
        </w:rPr>
        <w:t>Paragraph 7 of the Credit Support Annex specifies certain additional Events of Default which are in addition to the Events of Default in Section 5 of the ISDA Master.  As a general rule, failure to transfer collateral within 2 Business Days after notice is an Event of Default.</w:t>
      </w:r>
    </w:p>
    <w:p>
      <w:pPr>
        <w:pStyle w:val="Normal"/>
        <w:ind w:start="1440" w:end="0"/>
        <w:jc w:val="both"/>
        <w:rPr>
          <w:sz w:val="24"/>
        </w:rPr>
      </w:pPr>
      <w:r>
        <w:rPr>
          <w:sz w:val="24"/>
        </w:rPr>
      </w:r>
    </w:p>
    <w:p>
      <w:pPr>
        <w:pStyle w:val="Normal"/>
        <w:ind w:start="1440" w:end="0"/>
        <w:jc w:val="both"/>
        <w:rPr>
          <w:sz w:val="24"/>
        </w:rPr>
      </w:pPr>
      <w:r>
        <w:rPr>
          <w:sz w:val="24"/>
        </w:rPr>
        <w:t>Our Schedule to the Credit Support Annex contains Letter of Credit provisions that could trigger additional events of default if the following events happen:</w:t>
      </w:r>
    </w:p>
    <w:p>
      <w:pPr>
        <w:pStyle w:val="Normal"/>
        <w:ind w:start="1440" w:end="0"/>
        <w:jc w:val="both"/>
        <w:rPr>
          <w:sz w:val="24"/>
        </w:rPr>
      </w:pPr>
      <w:r>
        <w:rPr>
          <w:sz w:val="24"/>
        </w:rPr>
      </w:r>
    </w:p>
    <w:p>
      <w:pPr>
        <w:pStyle w:val="Normal"/>
        <w:numPr>
          <w:ilvl w:val="0"/>
          <w:numId w:val="5"/>
        </w:numPr>
        <w:jc w:val="both"/>
        <w:rPr>
          <w:sz w:val="24"/>
        </w:rPr>
      </w:pPr>
      <w:r>
        <w:rPr>
          <w:sz w:val="24"/>
        </w:rPr>
        <w:t>a letter of credit is not renewed</w:t>
      </w:r>
    </w:p>
    <w:p>
      <w:pPr>
        <w:pStyle w:val="Normal"/>
        <w:jc w:val="both"/>
        <w:rPr>
          <w:sz w:val="24"/>
        </w:rPr>
      </w:pPr>
      <w:r>
        <w:rPr>
          <w:sz w:val="24"/>
        </w:rPr>
      </w:r>
    </w:p>
    <w:p>
      <w:pPr>
        <w:pStyle w:val="Normal"/>
        <w:numPr>
          <w:ilvl w:val="0"/>
          <w:numId w:val="5"/>
        </w:numPr>
        <w:jc w:val="both"/>
        <w:rPr>
          <w:sz w:val="24"/>
        </w:rPr>
      </w:pPr>
      <w:r>
        <w:rPr>
          <w:sz w:val="24"/>
        </w:rPr>
        <w:t>issuer indicates its intent not to renew 20 or fewer Business Days prior to expiration</w:t>
      </w:r>
    </w:p>
    <w:p>
      <w:pPr>
        <w:pStyle w:val="Normal"/>
        <w:jc w:val="both"/>
        <w:rPr>
          <w:sz w:val="24"/>
        </w:rPr>
      </w:pPr>
      <w:r>
        <w:rPr>
          <w:sz w:val="24"/>
        </w:rPr>
      </w:r>
    </w:p>
    <w:p>
      <w:pPr>
        <w:pStyle w:val="Normal"/>
        <w:numPr>
          <w:ilvl w:val="0"/>
          <w:numId w:val="5"/>
        </w:numPr>
        <w:jc w:val="both"/>
        <w:rPr>
          <w:sz w:val="24"/>
        </w:rPr>
      </w:pPr>
      <w:r>
        <w:rPr>
          <w:sz w:val="24"/>
        </w:rPr>
        <w:t>issuer fails to honor a draw</w:t>
      </w:r>
    </w:p>
    <w:p>
      <w:pPr>
        <w:pStyle w:val="Normal"/>
        <w:jc w:val="both"/>
        <w:rPr>
          <w:sz w:val="24"/>
        </w:rPr>
      </w:pPr>
      <w:r>
        <w:rPr>
          <w:sz w:val="24"/>
        </w:rPr>
      </w:r>
    </w:p>
    <w:p>
      <w:pPr>
        <w:pStyle w:val="Normal"/>
        <w:numPr>
          <w:ilvl w:val="0"/>
          <w:numId w:val="5"/>
        </w:numPr>
        <w:jc w:val="both"/>
        <w:rPr>
          <w:sz w:val="24"/>
        </w:rPr>
      </w:pPr>
      <w:r>
        <w:rPr>
          <w:sz w:val="24"/>
        </w:rPr>
        <w:t>issuer’s credit rating falls</w:t>
      </w:r>
    </w:p>
    <w:p>
      <w:pPr>
        <w:pStyle w:val="Normal"/>
        <w:jc w:val="both"/>
        <w:rPr>
          <w:sz w:val="24"/>
        </w:rPr>
      </w:pPr>
      <w:r>
        <w:rPr>
          <w:sz w:val="24"/>
        </w:rPr>
      </w:r>
    </w:p>
    <w:p>
      <w:pPr>
        <w:pStyle w:val="Normal"/>
        <w:numPr>
          <w:ilvl w:val="0"/>
          <w:numId w:val="5"/>
        </w:numPr>
        <w:jc w:val="both"/>
        <w:rPr>
          <w:sz w:val="24"/>
        </w:rPr>
      </w:pPr>
      <w:r>
        <w:rPr>
          <w:sz w:val="24"/>
        </w:rPr>
        <w:t>issuer fails to perform its obligations under the Letter of Credit</w:t>
      </w:r>
    </w:p>
    <w:p>
      <w:pPr>
        <w:pStyle w:val="Normal"/>
        <w:jc w:val="both"/>
        <w:rPr>
          <w:sz w:val="24"/>
        </w:rPr>
      </w:pPr>
      <w:r>
        <w:rPr>
          <w:sz w:val="24"/>
        </w:rPr>
      </w:r>
    </w:p>
    <w:p>
      <w:pPr>
        <w:pStyle w:val="Normal"/>
        <w:numPr>
          <w:ilvl w:val="0"/>
          <w:numId w:val="5"/>
        </w:numPr>
        <w:jc w:val="both"/>
        <w:rPr>
          <w:sz w:val="24"/>
        </w:rPr>
      </w:pPr>
      <w:r>
        <w:rPr>
          <w:sz w:val="24"/>
        </w:rPr>
        <w:t>issuer disclaims or repudiates the Letter of Credit</w:t>
      </w:r>
    </w:p>
    <w:p>
      <w:pPr>
        <w:pStyle w:val="Normal"/>
        <w:jc w:val="both"/>
        <w:rPr>
          <w:sz w:val="24"/>
        </w:rPr>
      </w:pPr>
      <w:r>
        <w:rPr>
          <w:sz w:val="24"/>
        </w:rPr>
      </w:r>
    </w:p>
    <w:p>
      <w:pPr>
        <w:pStyle w:val="Normal"/>
        <w:numPr>
          <w:ilvl w:val="0"/>
          <w:numId w:val="5"/>
        </w:numPr>
        <w:jc w:val="both"/>
        <w:rPr>
          <w:sz w:val="24"/>
        </w:rPr>
      </w:pPr>
      <w:r>
        <w:rPr>
          <w:sz w:val="24"/>
        </w:rPr>
        <w:t>the Letter of Credit expires</w:t>
      </w:r>
    </w:p>
    <w:p>
      <w:pPr>
        <w:pStyle w:val="Normal"/>
        <w:jc w:val="both"/>
        <w:rPr>
          <w:sz w:val="24"/>
        </w:rPr>
      </w:pPr>
      <w:r>
        <w:rPr>
          <w:sz w:val="24"/>
        </w:rPr>
      </w:r>
    </w:p>
    <w:p>
      <w:pPr>
        <w:pStyle w:val="Normal"/>
        <w:numPr>
          <w:ilvl w:val="0"/>
          <w:numId w:val="5"/>
        </w:numPr>
        <w:jc w:val="both"/>
        <w:rPr>
          <w:sz w:val="24"/>
        </w:rPr>
      </w:pPr>
      <w:r>
        <w:rPr>
          <w:sz w:val="24"/>
        </w:rPr>
        <w:t>the issuer declares bankruptcy</w:t>
      </w:r>
    </w:p>
    <w:p>
      <w:pPr>
        <w:pStyle w:val="Normal"/>
        <w:jc w:val="both"/>
        <w:rPr>
          <w:sz w:val="24"/>
        </w:rPr>
      </w:pPr>
      <w:r>
        <w:rPr>
          <w:sz w:val="24"/>
        </w:rPr>
      </w:r>
    </w:p>
    <w:p>
      <w:pPr>
        <w:pStyle w:val="Normal"/>
        <w:ind w:start="1440" w:end="0"/>
        <w:jc w:val="both"/>
        <w:rPr>
          <w:sz w:val="24"/>
        </w:rPr>
      </w:pPr>
      <w:r>
        <w:rPr>
          <w:sz w:val="24"/>
        </w:rPr>
        <w:t>If the above events occur, our counterparty is required to post substitute collateral within a certain period of time and the failure to post such substitute collateral within such period of time would constitute an Event of Default if such failure continued for 2 Business Days after such counterparty receives notice of such failure from us.</w:t>
      </w:r>
    </w:p>
    <w:p>
      <w:pPr>
        <w:pStyle w:val="Normal"/>
        <w:ind w:start="720" w:end="0"/>
        <w:jc w:val="both"/>
        <w:rPr>
          <w:sz w:val="24"/>
        </w:rPr>
      </w:pPr>
      <w:r>
        <w:rPr>
          <w:sz w:val="24"/>
        </w:rPr>
      </w:r>
    </w:p>
    <w:p>
      <w:pPr>
        <w:pStyle w:val="Normal"/>
        <w:ind w:hanging="720" w:start="1440" w:end="0"/>
        <w:jc w:val="both"/>
        <w:rPr>
          <w:sz w:val="24"/>
        </w:rPr>
      </w:pPr>
      <w:r>
        <w:rPr>
          <w:sz w:val="24"/>
        </w:rPr>
        <w:tab/>
        <w:t>Once an Event of Default or Termination Event occurs, we can draw on the entire amount of any letter of credit and either hold the cash as collateral or apply it to any amounts owed to us by our counterparty.  We can also apply any other collateral that we are holding against obligations the counterparty owes us.</w:t>
      </w:r>
    </w:p>
    <w:p>
      <w:pPr>
        <w:pStyle w:val="Normal"/>
        <w:ind w:hanging="720" w:start="1440" w:end="0"/>
        <w:jc w:val="both"/>
        <w:rPr>
          <w:sz w:val="24"/>
        </w:rPr>
      </w:pPr>
      <w:r>
        <w:rPr>
          <w:sz w:val="24"/>
        </w:rPr>
      </w:r>
    </w:p>
    <w:p>
      <w:pPr>
        <w:pStyle w:val="Normal"/>
        <w:numPr>
          <w:ilvl w:val="0"/>
          <w:numId w:val="2"/>
        </w:numPr>
        <w:jc w:val="both"/>
        <w:rPr>
          <w:sz w:val="24"/>
        </w:rPr>
      </w:pPr>
      <w:r>
        <w:rPr>
          <w:sz w:val="24"/>
          <w:u w:val="single"/>
        </w:rPr>
        <w:t>Material Adverse Change/Threshold</w:t>
      </w:r>
    </w:p>
    <w:p>
      <w:pPr>
        <w:pStyle w:val="Normal"/>
        <w:jc w:val="both"/>
        <w:rPr>
          <w:sz w:val="24"/>
        </w:rPr>
      </w:pPr>
      <w:r>
        <w:rPr>
          <w:sz w:val="24"/>
        </w:rPr>
      </w:r>
    </w:p>
    <w:p>
      <w:pPr>
        <w:pStyle w:val="Normal"/>
        <w:ind w:start="1440" w:end="0"/>
        <w:jc w:val="both"/>
        <w:rPr/>
      </w:pPr>
      <w:r>
        <w:rPr>
          <w:sz w:val="24"/>
        </w:rPr>
        <w:t xml:space="preserve">Our Schedule contains alternative language for defining “Material Adverse Change”.  In the Schedule, the occurrence of an Event of Default, a Potential Event of Default or a Material Adverse Change reduces the collateral threshold to </w:t>
      </w:r>
      <w:r>
        <w:rPr>
          <w:sz w:val="24"/>
          <w:u w:val="single"/>
        </w:rPr>
        <w:t>zero</w:t>
      </w:r>
      <w:r>
        <w:rPr>
          <w:sz w:val="24"/>
        </w:rPr>
        <w:t>.  If our Master does not have a Credit Support Annex, then there usually is a Material Adverse Change trigger as an Additional Event of Default.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2"/>
        </w:numPr>
        <w:jc w:val="both"/>
        <w:rPr>
          <w:sz w:val="24"/>
        </w:rPr>
      </w:pPr>
      <w:r>
        <w:rPr>
          <w:sz w:val="24"/>
          <w:u w:val="single"/>
        </w:rPr>
        <w:t>Types of Collateral/Valuation Percentage</w:t>
      </w:r>
    </w:p>
    <w:p>
      <w:pPr>
        <w:pStyle w:val="Normal"/>
        <w:jc w:val="both"/>
        <w:rPr>
          <w:sz w:val="24"/>
        </w:rPr>
      </w:pPr>
      <w:r>
        <w:rPr>
          <w:sz w:val="24"/>
        </w:rPr>
      </w:r>
    </w:p>
    <w:p>
      <w:pPr>
        <w:pStyle w:val="Normal"/>
        <w:ind w:start="1440" w:end="0"/>
        <w:jc w:val="both"/>
        <w:rPr>
          <w:sz w:val="24"/>
        </w:rPr>
      </w:pPr>
      <w:r>
        <w:rPr>
          <w:sz w:val="24"/>
        </w:rPr>
        <w:t>These are specified in the Schedule.  These include cash, letters of credit or government securities.</w:t>
      </w:r>
    </w:p>
    <w:p>
      <w:pPr>
        <w:pStyle w:val="Normal"/>
        <w:ind w:start="1440" w:end="0"/>
        <w:jc w:val="both"/>
        <w:rPr>
          <w:sz w:val="24"/>
        </w:rPr>
      </w:pPr>
      <w:r>
        <w:rPr>
          <w:sz w:val="24"/>
        </w:rPr>
      </w:r>
    </w:p>
    <w:p>
      <w:pPr>
        <w:pStyle w:val="Normal"/>
        <w:ind w:start="1440" w:end="0"/>
        <w:jc w:val="both"/>
        <w:rPr/>
      </w:pPr>
      <w:r>
        <w:rPr>
          <w:sz w:val="24"/>
        </w:rPr>
        <w:t xml:space="preserve">Cash is always valued at 100%.  Letters of Credit are initially valued at 100% of the amount available to be drawn thereunder unless a Letter of Credit Default occurs </w:t>
      </w:r>
      <w:r>
        <w:rPr>
          <w:sz w:val="24"/>
          <w:u w:val="single"/>
        </w:rPr>
        <w:t>or</w:t>
      </w:r>
      <w:r>
        <w:rPr>
          <w:sz w:val="24"/>
        </w:rPr>
        <w:t xml:space="preserve"> 20 or fewer Business Days are left before expiration of a letter of credit, in which case they are valued at </w:t>
      </w:r>
      <w:r>
        <w:rPr>
          <w:sz w:val="24"/>
          <w:u w:val="single"/>
        </w:rPr>
        <w:t>zero</w:t>
      </w:r>
      <w:r>
        <w:rPr>
          <w:sz w:val="24"/>
        </w:rPr>
        <w:t>.  Government securities, depending on their maturity, are valued at less than 100%.</w:t>
      </w:r>
    </w:p>
    <w:p>
      <w:pPr>
        <w:pStyle w:val="Normal"/>
        <w:jc w:val="both"/>
        <w:rPr>
          <w:sz w:val="24"/>
        </w:rPr>
      </w:pPr>
      <w:r>
        <w:rPr>
          <w:sz w:val="24"/>
        </w:rPr>
      </w:r>
    </w:p>
    <w:p>
      <w:pPr>
        <w:pStyle w:val="Normal"/>
        <w:numPr>
          <w:ilvl w:val="0"/>
          <w:numId w:val="2"/>
        </w:numPr>
        <w:jc w:val="both"/>
        <w:rPr>
          <w:sz w:val="24"/>
        </w:rPr>
      </w:pPr>
      <w:r>
        <w:rPr>
          <w:sz w:val="24"/>
          <w:u w:val="single"/>
        </w:rPr>
        <w:t>Holding Collateral</w:t>
      </w:r>
    </w:p>
    <w:p>
      <w:pPr>
        <w:pStyle w:val="Normal"/>
        <w:jc w:val="both"/>
        <w:rPr>
          <w:sz w:val="24"/>
        </w:rPr>
      </w:pPr>
      <w:r>
        <w:rPr>
          <w:sz w:val="24"/>
        </w:rPr>
      </w:r>
    </w:p>
    <w:p>
      <w:pPr>
        <w:pStyle w:val="Normal"/>
        <w:ind w:start="1440" w:end="0"/>
        <w:jc w:val="both"/>
        <w:rPr>
          <w:sz w:val="24"/>
        </w:rPr>
      </w:pPr>
      <w:r>
        <w:rPr>
          <w:sz w:val="24"/>
        </w:rPr>
        <w:t>In our Schedule, we permit our counterparties to hold collateral that we post until an Event of Default, Ratings Downgrade and/or Material Adverse Change occurs at which time they must transfer the collateral to a “Qualified Institution.”</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CSTCLAIR\SWAPS\CREDITSEMINAR.DOC</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/mnt/main-storage/datasets/enron-docs/doc/CREDIT_SEMINAR_5_3.doc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7"/>
      <w:numFmt w:val="lowerLetter"/>
      <w:lvlText w:val="%1)"/>
      <w:lvlJc w:val="start"/>
      <w:pPr>
        <w:tabs>
          <w:tab w:val="num" w:pos="1800"/>
        </w:tabs>
        <w:ind w:start="1800" w:hanging="360"/>
      </w:pPr>
      <w:rPr/>
    </w:lvl>
  </w:abstractNum>
  <w:abstractNum w:abstractNumId="4">
    <w:lvl w:ilvl="0">
      <w:start w:val="3"/>
      <w:numFmt w:val="lowerLetter"/>
      <w:lvlText w:val="%1)"/>
      <w:lvlJc w:val="start"/>
      <w:pPr>
        <w:tabs>
          <w:tab w:val="num" w:pos="2160"/>
        </w:tabs>
        <w:ind w:start="2160" w:hanging="720"/>
      </w:pPr>
      <w:rPr>
        <w:u w:val="none"/>
      </w:rPr>
    </w:lvl>
  </w:abstractNum>
  <w:abstractNum w:abstractNumId="5">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ind w:hanging="1440" w:start="1440" w:end="0"/>
      <w:jc w:val="both"/>
      <w:outlineLvl w:val="0"/>
    </w:pPr>
    <w:rPr>
      <w:b/>
      <w:bCs/>
      <w:sz w:val="24"/>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tabs>
        <w:tab w:val="clear" w:pos="720"/>
        <w:tab w:val="left" w:pos="1440" w:leader="none"/>
        <w:tab w:val="left" w:pos="1710" w:leader="none"/>
        <w:tab w:val="left" w:pos="25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4"/>
    </w:rPr>
  </w:style>
  <w:style w:type="paragraph" w:styleId="BodyTextIndent">
    <w:name w:val="Body Text Indent"/>
    <w:basedOn w:val="Normal"/>
    <w:pPr>
      <w:tabs>
        <w:tab w:val="clear" w:pos="720"/>
        <w:tab w:val="left" w:pos="1440" w:leader="none"/>
        <w:tab w:val="left" w:pos="1710" w:leader="none"/>
        <w:tab w:val="left" w:pos="2520" w:leader="none"/>
        <w:tab w:val="left" w:pos="2880" w:leader="none"/>
        <w:tab w:val="left" w:pos="3960" w:leader="none"/>
      </w:tabs>
      <w:ind w:hanging="2880" w:start="2070" w:end="0"/>
    </w:pPr>
    <w:rPr>
      <w:sz w:val="24"/>
    </w:rPr>
  </w:style>
  <w:style w:type="paragraph" w:styleId="BodyTextIndent2">
    <w:name w:val="Body Text Indent 2"/>
    <w:basedOn w:val="Normal"/>
    <w:qFormat/>
    <w:pPr>
      <w:tabs>
        <w:tab w:val="clear" w:pos="720"/>
        <w:tab w:val="left" w:pos="1440" w:leader="none"/>
        <w:tab w:val="left" w:pos="1710" w:leader="none"/>
        <w:tab w:val="left" w:pos="2070" w:leader="none"/>
        <w:tab w:val="left" w:pos="2520" w:leader="none"/>
        <w:tab w:val="left" w:pos="3690" w:leader="none"/>
        <w:tab w:val="left" w:pos="3960" w:leader="none"/>
      </w:tabs>
      <w:ind w:hanging="2880" w:start="2880" w:end="0"/>
    </w:pPr>
    <w:rPr>
      <w:sz w:val="24"/>
    </w:rPr>
  </w:style>
  <w:style w:type="paragraph" w:styleId="BodyTextIndent3">
    <w:name w:val="Body Text Indent 3"/>
    <w:basedOn w:val="Normal"/>
    <w:qFormat/>
    <w:pPr>
      <w:tabs>
        <w:tab w:val="left" w:pos="720" w:leader="none"/>
      </w:tabs>
      <w:ind w:hanging="1440" w:start="144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2000-05-03T14:47:00Z</dcterms:created>
  <dc:creator>sadams</dc:creator>
  <dc:description/>
  <dc:language>en-CA</dc:language>
  <cp:lastModifiedBy>cstclai</cp:lastModifiedBy>
  <cp:lastPrinted>2000-05-04T17:37:00Z</cp:lastPrinted>
  <dcterms:modified xsi:type="dcterms:W3CDTF">2000-05-04T20:08:00Z</dcterms:modified>
  <cp:revision>5</cp:revision>
  <dc:subject/>
  <dc:title>CREDIT SEMINAR</dc:title>
</cp:coreProperties>
</file>