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Bold"/>
        <w:rPr>
          <w:b w:val="false"/>
          <w:color w:val="000000"/>
        </w:rPr>
      </w:pPr>
      <w: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val="false"/>
          <w:color w:val="000000"/>
        </w:rPr>
        <w:t>Core Market Pool Performance Bond</w:t>
      </w:r>
    </w:p>
    <w:p>
      <w:pPr>
        <w:pStyle w:val="CenteredBold"/>
        <w:jc w:val="both"/>
        <w:rPr>
          <w:b w:val="false"/>
          <w:color w:val="000000"/>
        </w:rPr>
      </w:pPr>
      <w:r>
        <w:rPr>
          <w:b w:val="false"/>
          <w:color w:val="000000"/>
        </w:rPr>
        <w:t>Bond No. 24-64-72</w:t>
      </w:r>
    </w:p>
    <w:p>
      <w:pPr>
        <w:pStyle w:val="FlushLeft"/>
        <w:ind w:firstLine="720" w:end="0"/>
        <w:jc w:val="both"/>
        <w:rPr>
          <w:color w:val="000000"/>
        </w:rPr>
      </w:pPr>
      <w:r>
        <w:rPr>
          <w:color w:val="000000"/>
        </w:rPr>
        <w:t>KNOW ALL MEN BY THESE PRESENTS, that the Core Market Participants listed on Exhibit A as principals (the "Principals"), and American Home Assurance Company, a corporation organized under the State of New York, and duly authorized to transact business in the State of California, as surety (in such capacity, the "Surety"), are held and firmly bound unto the California Power Exchange Corporation (“PX”), a California non-profit benefit corporation, as obligee (the "Obligee"), in the penal sum of Twenty Million Dollars ($20,000,000), for the Aggregate Amount (as defined in paragraph 3), payable in lawful money of the United States, to the payment of which well and truly to be made we hereby bind ourselves and our heirs, administrators, successors, and assigns, jointly and severally, firmly by these presents.</w:t>
      </w:r>
    </w:p>
    <w:p>
      <w:pPr>
        <w:pStyle w:val="FlushLeft"/>
        <w:ind w:firstLine="720" w:end="0"/>
        <w:jc w:val="both"/>
        <w:rPr>
          <w:color w:val="000000"/>
        </w:rPr>
      </w:pPr>
      <w:r>
        <w:rPr>
          <w:color w:val="000000"/>
        </w:rPr>
        <w:t xml:space="preserve">WHEREAS, each of the above bounden Principals has entered into a PX Participation Agreement for the Core Market (each as amended, modified or supplemented from time to time, a "PX Participation Agreement") with the above named Obligee, effective as of the date shown on Exhibit A, for which such PX Participation Agreement is hereby referred to and made a part hereof as fully and to the same extent as if copies at length were attached herein; </w:t>
      </w:r>
    </w:p>
    <w:p>
      <w:pPr>
        <w:pStyle w:val="FlushLeft"/>
        <w:ind w:firstLine="720" w:end="0"/>
        <w:jc w:val="both"/>
        <w:rPr>
          <w:color w:val="000000"/>
        </w:rPr>
      </w:pPr>
      <w:r>
        <w:rPr>
          <w:color w:val="000000"/>
        </w:rPr>
        <w:t>WHEREAS, the purpose of this Bond is to provide the Core Market pool of Participants with an additional level of Collateral Security as described in Schedule 2, Section 3 of the PX Tariff for the Core Market; and</w:t>
      </w:r>
    </w:p>
    <w:p>
      <w:pPr>
        <w:pStyle w:val="FlushLeft"/>
        <w:ind w:firstLine="720" w:end="0"/>
        <w:jc w:val="both"/>
        <w:rPr>
          <w:color w:val="000000"/>
        </w:rPr>
      </w:pPr>
      <w:r>
        <w:rPr>
          <w:color w:val="000000"/>
        </w:rPr>
        <w:t>WHEREAS, to induce the Surety to execute and deliver this Bond, each of the above bounden Principals has entered into an  Indemnity Agreement with the Surety, effective as of the date shown on Exhibit A.</w:t>
      </w:r>
    </w:p>
    <w:p>
      <w:pPr>
        <w:pStyle w:val="FlushLeft"/>
        <w:ind w:firstLine="720" w:end="0"/>
        <w:jc w:val="both"/>
        <w:rPr>
          <w:color w:val="000000"/>
        </w:rPr>
      </w:pPr>
      <w:r>
        <w:rPr>
          <w:color w:val="000000"/>
        </w:rPr>
        <w:t>NOW, THEREFORE, if at the expiration of the Term of this Bond (as defined below in paragraph 4) each of the Principals shall have complied with and faithfully performed the terms of its respective PX Participation Agreement during the Term, including payment of sums when and as due under such PX Participation Agreement, then this Bond shall be null and void, and otherwise to be in full force and effect.</w:t>
      </w:r>
    </w:p>
    <w:p>
      <w:pPr>
        <w:pStyle w:val="FlushLeft"/>
        <w:ind w:firstLine="720" w:end="0"/>
        <w:jc w:val="both"/>
        <w:rPr>
          <w:color w:val="000000"/>
        </w:rPr>
      </w:pPr>
      <w:r>
        <w:rPr>
          <w:color w:val="000000"/>
        </w:rPr>
        <w:t>PROVIDED, HOWEVER, that this Bond is executed by the Surety and accepted by the Obligee subject to the following express conditions:</w:t>
      </w:r>
    </w:p>
    <w:p>
      <w:pPr>
        <w:pStyle w:val="FlushLeft"/>
        <w:numPr>
          <w:ilvl w:val="0"/>
          <w:numId w:val="4"/>
        </w:numPr>
        <w:jc w:val="both"/>
        <w:rPr>
          <w:color w:val="000000"/>
        </w:rPr>
      </w:pPr>
      <w:r>
        <w:rPr>
          <w:color w:val="000000"/>
          <w:u w:val="single"/>
        </w:rPr>
        <w:t>Payment Under Bond</w:t>
      </w:r>
      <w:r>
        <w:rPr>
          <w:color w:val="000000"/>
        </w:rPr>
        <w:t>.  The Surety shall satisfy and discharge the obligations of each Principal to the extent incurred under its PX Participation Agreement in accordance with paragraph 2, but subject to paragraph 3, only after the Obligee delivers a Demand for Payment substantially in the form of Exhibit B. The obligations of the Surety are absolute and unconditional irrespective of the value, genuineness, validity, regularity or enforceability of the respective PX Participation Agreement, or any substitution, release or exchange of any other guarantee of or security for any of the defaulting Principals' obligations, and, to the fullest extent permitted by applicable law, irrespective of any other circumstance whatsoever that might otherwise constitute a legal or equitable discharge or defense of a surety.  Without limiting the generality of the foregoing, it is agreed that the occurrence of any one or more of the following shall not alter or impair the liability of the Surety under this Bond which shall remain absolute and unconditional as described above:</w:t>
      </w:r>
    </w:p>
    <w:p>
      <w:pPr>
        <w:pStyle w:val="FlushLeft"/>
        <w:ind w:hanging="720" w:start="1440" w:end="0"/>
        <w:jc w:val="both"/>
        <w:rPr>
          <w:color w:val="000000"/>
        </w:rPr>
      </w:pPr>
      <w:r>
        <w:rPr>
          <w:color w:val="000000"/>
        </w:rPr>
        <w:t>(a)</w:t>
        <w:tab/>
        <w:t>at any time or from time to time, without notice to the Surety, the PX Participation Agreements and the Principals' obligations thereunder are amended, increased, supplemented or modified except for the credit policies to be performed by the PX in the PX Tariff, Schedule 2 for which a written notice of at least (60) days must be provided to the Surety prior to the effective date of any changes; or</w:t>
      </w:r>
    </w:p>
    <w:p>
      <w:pPr>
        <w:pStyle w:val="StandardL2"/>
        <w:numPr>
          <w:ilvl w:val="0"/>
          <w:numId w:val="0"/>
        </w:numPr>
        <w:ind w:hanging="720" w:start="1440" w:end="0"/>
        <w:jc w:val="both"/>
        <w:rPr>
          <w:color w:val="000000"/>
        </w:rPr>
      </w:pPr>
      <w:r>
        <w:rPr>
          <w:color w:val="000000"/>
        </w:rPr>
        <w:t>(b)</w:t>
        <w:tab/>
        <w:t xml:space="preserve">at any time or from time to time, without notice to the Surety, the time for any performance of, or compliance with, any of the defaulting Principals' obligations shall be extended or such performance or compliance shall be waived. </w:t>
      </w:r>
    </w:p>
    <w:p>
      <w:pPr>
        <w:pStyle w:val="StandardL2"/>
        <w:numPr>
          <w:ilvl w:val="0"/>
          <w:numId w:val="0"/>
        </w:numPr>
        <w:ind w:hanging="720" w:start="720" w:end="0"/>
        <w:jc w:val="both"/>
        <w:rPr/>
      </w:pPr>
      <w:r>
        <w:rPr>
          <w:color w:val="000000"/>
        </w:rPr>
        <w:t>2.</w:t>
        <w:tab/>
      </w:r>
      <w:r>
        <w:rPr>
          <w:color w:val="000000"/>
          <w:u w:val="single"/>
        </w:rPr>
        <w:t>Time for Payment</w:t>
      </w:r>
      <w:r>
        <w:rPr>
          <w:color w:val="000000"/>
        </w:rPr>
        <w:t>.  Upon satisfaction of the conditions specified in paragraph 1, the Surety shall, not later than twenty (20) Business Days after delivery of a Demand for Payment by the Obligee, pay the amount requested thereon to the Obligee.  Multiple partial draws shall be permitted under this Bond throughout its term.  For the purposes of this Bond, the term "Business Days" shall mean any day other than a Saturday, Sunday or a day on which banks in Los Angeles, California, are authorized or required by law to close.</w:t>
      </w:r>
    </w:p>
    <w:p>
      <w:pPr>
        <w:pStyle w:val="StandardL1"/>
        <w:numPr>
          <w:ilvl w:val="0"/>
          <w:numId w:val="0"/>
        </w:numPr>
        <w:ind w:hanging="720" w:start="720" w:end="0"/>
        <w:jc w:val="both"/>
        <w:rPr/>
      </w:pPr>
      <w:r>
        <w:rPr>
          <w:color w:val="000000"/>
        </w:rPr>
        <w:t>3.</w:t>
        <w:tab/>
      </w:r>
      <w:r>
        <w:rPr>
          <w:color w:val="000000"/>
          <w:u w:val="single"/>
        </w:rPr>
        <w:t>Surety's Maximum Liability</w:t>
      </w:r>
      <w:r>
        <w:rPr>
          <w:color w:val="000000"/>
        </w:rPr>
        <w:t>.  The maximum aggregate liability (the "Aggregate Amount") of the Surety under this Bond (other than paragraph 10) during any annual term shall not exceed the sum of $20,000,000; provided that multiple partial draws (which may or may not arise from different defaulting Principals) shall be permitted under this Bond.</w:t>
      </w:r>
    </w:p>
    <w:p>
      <w:pPr>
        <w:pStyle w:val="StandardL1"/>
        <w:numPr>
          <w:ilvl w:val="0"/>
          <w:numId w:val="0"/>
        </w:numPr>
        <w:ind w:hanging="720" w:start="720" w:end="0"/>
        <w:jc w:val="both"/>
        <w:rPr/>
      </w:pPr>
      <w:r>
        <w:rPr>
          <w:color w:val="000000"/>
        </w:rPr>
        <w:t>4.</w:t>
        <w:tab/>
      </w:r>
      <w:r>
        <w:rPr>
          <w:color w:val="000000"/>
          <w:u w:val="single"/>
        </w:rPr>
        <w:t>Term; Removal of Principals</w:t>
      </w:r>
      <w:r>
        <w:rPr>
          <w:color w:val="000000"/>
        </w:rPr>
        <w:t>.  This Bond shall be effective on August 16, 2000, and shall remain in effect (the period that this Bond shall be in effect is the "Term") for consecutive annual terms until terminated or canceled (a) by the Surety in a writing delivered to the Principals and the Obligee not less than  forty-five (45) days prior to the expiration date of the then-current Term or (b) by the Obligee in a writing delivered to the Surety and the Principals not less than ninety (forty-five (45) days prior to the expiration date of the then-current Term.  If the Obligee makes any change to the Credit Procedures as outlined in the Tarriff Agreement, Schedule 2, less than forty-five (45) days prior to the expiration date of the then-current Term, Surety has the sole right to terminate or cancel said Bond at any time prior to expiration of the then-current Term, which such notice to become effective forty-five days from the date the notice to terminate or cancel is received by the Obligee.  A Principal may be removed from Exhibit A only if the Obligee delivers written notice to the Surety of the termination of such Principal's PX Participation Agreement.  Any obligations incurred by a Principal prior to the effective date of its removal or the termination of this Bond shall survive such removal or termination and continue to be a liability of the Surety until paid in full by the Principal.</w:t>
      </w:r>
    </w:p>
    <w:p>
      <w:pPr>
        <w:pStyle w:val="StandardL1"/>
        <w:numPr>
          <w:ilvl w:val="0"/>
          <w:numId w:val="0"/>
        </w:numPr>
        <w:ind w:hanging="720" w:start="720" w:end="0"/>
        <w:jc w:val="both"/>
        <w:rPr/>
      </w:pPr>
      <w:r>
        <w:rPr>
          <w:color w:val="000000"/>
        </w:rPr>
        <w:t>5.</w:t>
        <w:tab/>
      </w:r>
      <w:r>
        <w:rPr>
          <w:color w:val="000000"/>
          <w:u w:val="single"/>
        </w:rPr>
        <w:t>Acknowledgements, Waivers and Consents</w:t>
      </w:r>
      <w:r>
        <w:rPr>
          <w:color w:val="000000"/>
        </w:rPr>
        <w:t>.  In full recognition and in furtherance of the foregoing, the Surety agrees that:</w:t>
      </w:r>
    </w:p>
    <w:p>
      <w:pPr>
        <w:pStyle w:val="StandardL2"/>
        <w:numPr>
          <w:ilvl w:val="0"/>
          <w:numId w:val="0"/>
        </w:numPr>
        <w:ind w:hanging="720" w:start="1440" w:end="0"/>
        <w:jc w:val="both"/>
        <w:rPr>
          <w:color w:val="000000"/>
        </w:rPr>
      </w:pPr>
      <w:r>
        <w:rPr>
          <w:color w:val="000000"/>
        </w:rPr>
        <w:t>(a)</w:t>
        <w:tab/>
        <w:t>Without affecting the enforceability or effectiveness of this Bond in accordance with its terms and without affecting, limiting, reducing, discharging or terminating the liability of the Surety, or the rights, remedies, powers and privileges of the Obligee under this Bond, the Obligee may, at any time and from time to time and without notice or demand of any kind or nature whatsoever:</w:t>
      </w:r>
    </w:p>
    <w:p>
      <w:pPr>
        <w:pStyle w:val="StandardL3"/>
        <w:numPr>
          <w:ilvl w:val="2"/>
          <w:numId w:val="3"/>
        </w:numPr>
        <w:ind w:hanging="0" w:start="0"/>
        <w:jc w:val="both"/>
        <w:rPr>
          <w:color w:val="000000"/>
        </w:rPr>
      </w:pPr>
      <w:r>
        <w:rPr>
          <w:color w:val="000000"/>
        </w:rPr>
        <w:t>amend, supplement, modify, extend, renew, waive, accelerate or otherwise change the time for payment or performance of, or the terms of, all or any part of any Principals' obligations (including any increase or decrease in the rate or rates of interest);</w:t>
      </w:r>
    </w:p>
    <w:p>
      <w:pPr>
        <w:pStyle w:val="StandardL3"/>
        <w:numPr>
          <w:ilvl w:val="2"/>
          <w:numId w:val="3"/>
        </w:numPr>
        <w:ind w:hanging="0" w:start="0"/>
        <w:jc w:val="both"/>
        <w:rPr>
          <w:color w:val="000000"/>
        </w:rPr>
      </w:pPr>
      <w:r>
        <w:rPr>
          <w:color w:val="000000"/>
        </w:rPr>
        <w:t>amend, supplement, modify, extend, renew, waive or otherwise change, or enter into or give, any agreement, security document, guarantee, approval, consent or other instrument relating to all or any part of any Principals' obligations;</w:t>
      </w:r>
    </w:p>
    <w:p>
      <w:pPr>
        <w:pStyle w:val="StandardL3"/>
        <w:numPr>
          <w:ilvl w:val="2"/>
          <w:numId w:val="3"/>
        </w:numPr>
        <w:ind w:hanging="0" w:start="0"/>
        <w:jc w:val="both"/>
        <w:rPr>
          <w:color w:val="000000"/>
        </w:rPr>
      </w:pPr>
      <w:r>
        <w:rPr>
          <w:color w:val="000000"/>
        </w:rPr>
        <w:t>accept or enter into new or additional agreements, security documents, guarantees (including letters of credit) or other instruments in addition to, in exchange for or relative to the PX Participation Agreement or any document now or in the future evidencing or serving as collateral provided by the Principal in accordance with the PX Tariff, Schedule 2 (“Principal-Specific Collateral”);</w:t>
      </w:r>
    </w:p>
    <w:p>
      <w:pPr>
        <w:pStyle w:val="StandardL3"/>
        <w:numPr>
          <w:ilvl w:val="2"/>
          <w:numId w:val="3"/>
        </w:numPr>
        <w:ind w:hanging="0" w:start="0"/>
        <w:jc w:val="both"/>
        <w:rPr>
          <w:color w:val="000000"/>
        </w:rPr>
      </w:pPr>
      <w:r>
        <w:rPr>
          <w:color w:val="000000"/>
        </w:rPr>
        <w:t>accept or receive partial payments or performance on any defaulting Principals' obligations (whether as a result of the exercise of any right, remedy, power or privilege or otherwise);</w:t>
      </w:r>
    </w:p>
    <w:p>
      <w:pPr>
        <w:pStyle w:val="StandardL3"/>
        <w:numPr>
          <w:ilvl w:val="2"/>
          <w:numId w:val="3"/>
        </w:numPr>
        <w:ind w:hanging="0" w:start="0"/>
        <w:jc w:val="both"/>
        <w:rPr>
          <w:color w:val="000000"/>
        </w:rPr>
      </w:pPr>
      <w:r>
        <w:rPr>
          <w:color w:val="000000"/>
        </w:rPr>
        <w:t>accept, receive and hold any additional collateral for all or any part of any defaulting Principals' obligations;</w:t>
      </w:r>
    </w:p>
    <w:p>
      <w:pPr>
        <w:pStyle w:val="StandardL3"/>
        <w:numPr>
          <w:ilvl w:val="2"/>
          <w:numId w:val="3"/>
        </w:numPr>
        <w:ind w:hanging="0" w:start="0"/>
        <w:jc w:val="both"/>
        <w:rPr>
          <w:color w:val="000000"/>
        </w:rPr>
      </w:pPr>
      <w:r>
        <w:rPr>
          <w:color w:val="000000"/>
        </w:rPr>
        <w:t>release, reconvey, terminate, waive, abandon, allow to lapse or expire, fail to perfect, subordinate, exchange, substitute, transfer, foreclose upon or enforce any collateral, security documents or guarantees (including letters of credit) for or relative to all or any part of any defaulting Principals' obligations;</w:t>
      </w:r>
    </w:p>
    <w:p>
      <w:pPr>
        <w:pStyle w:val="StandardL3"/>
        <w:numPr>
          <w:ilvl w:val="2"/>
          <w:numId w:val="3"/>
        </w:numPr>
        <w:ind w:hanging="0" w:start="0"/>
        <w:jc w:val="both"/>
        <w:rPr>
          <w:color w:val="000000"/>
        </w:rPr>
      </w:pPr>
      <w:r>
        <w:rPr>
          <w:color w:val="000000"/>
        </w:rPr>
        <w:t>apply any collateral or the proceeds of any Principal-Specific Collateral or other collateral to all or any part of any defaulting Principals' obligations in such manner and extent as the Obligee may in its discretion determine;</w:t>
      </w:r>
    </w:p>
    <w:p>
      <w:pPr>
        <w:pStyle w:val="StandardL3"/>
        <w:numPr>
          <w:ilvl w:val="2"/>
          <w:numId w:val="3"/>
        </w:numPr>
        <w:ind w:hanging="0" w:start="0"/>
        <w:jc w:val="both"/>
        <w:rPr>
          <w:color w:val="000000"/>
        </w:rPr>
      </w:pPr>
      <w:r>
        <w:rPr>
          <w:color w:val="000000"/>
        </w:rPr>
        <w:t>release any Person from any personal liability with respect to all or any part of the defaulting Principals' obligations;</w:t>
      </w:r>
    </w:p>
    <w:p>
      <w:pPr>
        <w:pStyle w:val="StandardL3"/>
        <w:numPr>
          <w:ilvl w:val="2"/>
          <w:numId w:val="3"/>
        </w:numPr>
        <w:ind w:hanging="0" w:start="0"/>
        <w:jc w:val="both"/>
        <w:rPr>
          <w:color w:val="000000"/>
        </w:rPr>
      </w:pPr>
      <w:r>
        <w:rPr>
          <w:color w:val="000000"/>
        </w:rPr>
        <w:t>settle, compromise, release, liquidate or enforce upon such terms and in such manner as the Obligee may determine or as applicable law may dictate all or any part of any defaulting Principals' obligations or any collateral on or guarantee of (including any letter of credit issued with respect to) all or any part of such Principals' obligations;</w:t>
      </w:r>
    </w:p>
    <w:p>
      <w:pPr>
        <w:pStyle w:val="StandardL3"/>
        <w:numPr>
          <w:ilvl w:val="2"/>
          <w:numId w:val="3"/>
        </w:numPr>
        <w:ind w:hanging="0" w:start="0"/>
        <w:jc w:val="both"/>
        <w:rPr>
          <w:color w:val="000000"/>
        </w:rPr>
      </w:pPr>
      <w:r>
        <w:rPr>
          <w:color w:val="000000"/>
        </w:rPr>
        <w:t>consent to the merger or consolidation of, the sale of substantial assets by, or other restructuring or termination of the corporate existence of a defaulting Principal; and</w:t>
      </w:r>
    </w:p>
    <w:p>
      <w:pPr>
        <w:pStyle w:val="StandardL3"/>
        <w:numPr>
          <w:ilvl w:val="2"/>
          <w:numId w:val="3"/>
        </w:numPr>
        <w:ind w:hanging="0" w:start="0"/>
        <w:jc w:val="both"/>
        <w:rPr>
          <w:color w:val="000000"/>
        </w:rPr>
      </w:pPr>
      <w:r>
        <w:rPr>
          <w:color w:val="000000"/>
        </w:rPr>
        <w:t>enter into such other transactions or business dealings with any defaulting Principal (or any of its affiliates) or any other guarantor of all or any part of such Principal's obligations as the Obligee may desire.</w:t>
      </w:r>
    </w:p>
    <w:p>
      <w:pPr>
        <w:pStyle w:val="StandardL2"/>
        <w:numPr>
          <w:ilvl w:val="1"/>
          <w:numId w:val="3"/>
        </w:numPr>
        <w:tabs>
          <w:tab w:val="clear" w:pos="720"/>
        </w:tabs>
        <w:ind w:hanging="720" w:start="1440" w:end="0"/>
        <w:jc w:val="both"/>
        <w:rPr>
          <w:color w:val="000000"/>
        </w:rPr>
      </w:pPr>
      <w:r>
        <w:rPr>
          <w:color w:val="000000"/>
        </w:rPr>
        <w:t>The enforceability and effectiveness of this Bond and the liability of the Surety, and the rights, remedies, powers and privileges of the Obligee, under this Bond shall not be affected, limited, reduced, discharged or terminated, and the Surety hereby expressly waives to the fullest extent permitted by law any defense now or in the future arising, by reason of:</w:t>
      </w:r>
    </w:p>
    <w:p>
      <w:pPr>
        <w:pStyle w:val="StandardL3"/>
        <w:numPr>
          <w:ilvl w:val="2"/>
          <w:numId w:val="3"/>
        </w:numPr>
        <w:ind w:hanging="0" w:start="0"/>
        <w:jc w:val="both"/>
        <w:rPr>
          <w:color w:val="000000"/>
        </w:rPr>
      </w:pPr>
      <w:r>
        <w:rPr>
          <w:color w:val="000000"/>
        </w:rPr>
        <w:t>the illegality, invalidity or unenforceability of all or any part of any defaulting Principals' obligations, any PX Participation Agreement, such Participant's Principal-Specific Collateral or any agreement, security document, guarantee or other instrument relative to all or any part of any defaulting Principals' obligations;</w:t>
      </w:r>
    </w:p>
    <w:p>
      <w:pPr>
        <w:pStyle w:val="StandardL3"/>
        <w:numPr>
          <w:ilvl w:val="2"/>
          <w:numId w:val="3"/>
        </w:numPr>
        <w:ind w:hanging="0" w:start="0"/>
        <w:jc w:val="both"/>
        <w:rPr>
          <w:color w:val="000000"/>
        </w:rPr>
      </w:pPr>
      <w:r>
        <w:rPr>
          <w:color w:val="000000"/>
        </w:rPr>
        <w:t>any disability or other defense with respect to all of any part of any Principals' obligations or any of their guarantors, including the effect of any statute of limitations that may bar the enforcement of all or any part of any Principals' obligations or the obligations of any such other guarantor;</w:t>
      </w:r>
    </w:p>
    <w:p>
      <w:pPr>
        <w:pStyle w:val="StandardL3"/>
        <w:numPr>
          <w:ilvl w:val="2"/>
          <w:numId w:val="3"/>
        </w:numPr>
        <w:ind w:hanging="0" w:start="0"/>
        <w:jc w:val="both"/>
        <w:rPr>
          <w:color w:val="000000"/>
        </w:rPr>
      </w:pPr>
      <w:r>
        <w:rPr>
          <w:color w:val="000000"/>
        </w:rPr>
        <w:t>the illegality, invalidity or unenforceability of any security or guarantee (including any letter of credit) for all or any part of any Principals' obligations or the lack of perfection or continuing perfection or failure of the priority of any lien on any collateral for all or any part of any Principal's obligations;</w:t>
      </w:r>
    </w:p>
    <w:p>
      <w:pPr>
        <w:pStyle w:val="StandardL3"/>
        <w:numPr>
          <w:ilvl w:val="2"/>
          <w:numId w:val="3"/>
        </w:numPr>
        <w:ind w:hanging="0" w:start="0"/>
        <w:jc w:val="both"/>
        <w:rPr>
          <w:color w:val="000000"/>
        </w:rPr>
      </w:pPr>
      <w:r>
        <w:rPr>
          <w:color w:val="000000"/>
        </w:rPr>
        <w:t>the cessation, for any cause whatsoever, of the liability of the Principal or any guarantor of all or any part of any Principals' obligations (other than, subject to paragraph 6, by reason of the full payment and performance of all obligations of the Principals);</w:t>
      </w:r>
    </w:p>
    <w:p>
      <w:pPr>
        <w:pStyle w:val="StandardL3"/>
        <w:numPr>
          <w:ilvl w:val="2"/>
          <w:numId w:val="3"/>
        </w:numPr>
        <w:ind w:hanging="0" w:start="0"/>
        <w:jc w:val="both"/>
        <w:rPr>
          <w:color w:val="000000"/>
        </w:rPr>
      </w:pPr>
      <w:r>
        <w:rPr>
          <w:color w:val="000000"/>
        </w:rPr>
        <w:t>except as expressly required under paragraph 1, any failure of the Obligee to marshal assets in favor of a defaulting Principal or any other Person to exhaust any collateral for all or any part of the obligations, to pursue or exhaust any right, remedy, power or privilege it may have against such Principal, any other guarantor of all or any part of the obligations (including any issuer of any letter of credit) or any other Person or to take any action whatsoever to mitigate or reduce the Surety's liability under this Bond, the Obligee is not under any obligation to take any such action notwithstanding the fact that all or any part of such Principal's obligations may be due and payable and that such Principal may be in default of its obligations;</w:t>
      </w:r>
    </w:p>
    <w:p>
      <w:pPr>
        <w:pStyle w:val="StandardL3"/>
        <w:numPr>
          <w:ilvl w:val="2"/>
          <w:numId w:val="3"/>
        </w:numPr>
        <w:ind w:hanging="0" w:start="0"/>
        <w:jc w:val="both"/>
        <w:rPr>
          <w:color w:val="000000"/>
        </w:rPr>
      </w:pPr>
      <w:r>
        <w:rPr>
          <w:color w:val="000000"/>
        </w:rPr>
        <w:t>any failure of the Obligee to comply with applicable laws in connection with the sale or other disposition of any collateral for all or any part of a defaulting Principal's obligations;</w:t>
      </w:r>
    </w:p>
    <w:p>
      <w:pPr>
        <w:pStyle w:val="StandardL3"/>
        <w:numPr>
          <w:ilvl w:val="2"/>
          <w:numId w:val="3"/>
        </w:numPr>
        <w:ind w:hanging="0" w:start="0"/>
        <w:jc w:val="both"/>
        <w:rPr>
          <w:color w:val="000000"/>
        </w:rPr>
      </w:pPr>
      <w:r>
        <w:rPr>
          <w:color w:val="000000"/>
        </w:rPr>
        <w:t>any act or omission of the Obligee or any other Person that directly or indirectly results in or aids the discharge or release of all or any part of a defaulting Principal's obligations or any security or guarantee (including any letter of credit) for all or any part of such obligations by operation of law or otherwise;</w:t>
      </w:r>
    </w:p>
    <w:p>
      <w:pPr>
        <w:pStyle w:val="StandardL3"/>
        <w:numPr>
          <w:ilvl w:val="2"/>
          <w:numId w:val="3"/>
        </w:numPr>
        <w:ind w:hanging="0" w:start="0"/>
        <w:jc w:val="both"/>
        <w:rPr>
          <w:color w:val="000000"/>
        </w:rPr>
      </w:pPr>
      <w:r>
        <w:rPr>
          <w:color w:val="000000"/>
        </w:rPr>
        <w:t>any law which provides that the obligation of a surety or guarantor must neither be larger in amount nor in other respects more burdensome than that of the principal or which reduces a surety's or guarantor's obligation in proportion to the principal obligation;</w:t>
      </w:r>
    </w:p>
    <w:p>
      <w:pPr>
        <w:pStyle w:val="StandardL3"/>
        <w:numPr>
          <w:ilvl w:val="2"/>
          <w:numId w:val="3"/>
        </w:numPr>
        <w:ind w:hanging="0" w:start="0"/>
        <w:jc w:val="both"/>
        <w:rPr>
          <w:color w:val="000000"/>
        </w:rPr>
      </w:pPr>
      <w:r>
        <w:rPr>
          <w:color w:val="000000"/>
        </w:rPr>
        <w:t>the possibility that the obligations of a defaulting Principal to the Obligee may at any time and from time to time exceed the aggregate liability of the Surety under this Bond;</w:t>
      </w:r>
    </w:p>
    <w:p>
      <w:pPr>
        <w:pStyle w:val="StandardL3"/>
        <w:numPr>
          <w:ilvl w:val="2"/>
          <w:numId w:val="3"/>
        </w:numPr>
        <w:ind w:hanging="0" w:start="0"/>
        <w:jc w:val="both"/>
        <w:rPr>
          <w:color w:val="000000"/>
        </w:rPr>
      </w:pPr>
      <w:r>
        <w:rPr>
          <w:color w:val="000000"/>
        </w:rPr>
        <w:t>any counterclaim, set-off (including as permitted by 11 U.S.C. § 362) or other claim which a defaulting Principal has or alleges to have with respect to all or any part of its obligations;</w:t>
      </w:r>
    </w:p>
    <w:p>
      <w:pPr>
        <w:pStyle w:val="StandardL3"/>
        <w:numPr>
          <w:ilvl w:val="2"/>
          <w:numId w:val="3"/>
        </w:numPr>
        <w:ind w:hanging="0" w:start="0"/>
        <w:jc w:val="both"/>
        <w:rPr>
          <w:color w:val="000000"/>
        </w:rPr>
      </w:pPr>
      <w:r>
        <w:rPr>
          <w:color w:val="000000"/>
        </w:rPr>
        <w:t>any failure of the Obligee to file or enforce a claim in any bankruptcy or other proceeding with respect to any Person;</w:t>
      </w:r>
    </w:p>
    <w:p>
      <w:pPr>
        <w:pStyle w:val="StandardL3"/>
        <w:numPr>
          <w:ilvl w:val="2"/>
          <w:numId w:val="3"/>
        </w:numPr>
        <w:ind w:hanging="0" w:start="0"/>
        <w:jc w:val="both"/>
        <w:rPr>
          <w:color w:val="000000"/>
        </w:rPr>
      </w:pPr>
      <w:r>
        <w:rPr>
          <w:color w:val="000000"/>
        </w:rPr>
        <w:t>the election by the Obligee to exercise or not to exercise any liquidation rights it may have pursuant to 11 U.S.C. § 556;</w:t>
      </w:r>
    </w:p>
    <w:p>
      <w:pPr>
        <w:pStyle w:val="StandardL3"/>
        <w:numPr>
          <w:ilvl w:val="2"/>
          <w:numId w:val="3"/>
        </w:numPr>
        <w:ind w:hanging="0" w:start="0"/>
        <w:jc w:val="both"/>
        <w:rPr>
          <w:color w:val="000000"/>
        </w:rPr>
      </w:pPr>
      <w:r>
        <w:rPr>
          <w:color w:val="000000"/>
        </w:rPr>
        <w:t>the election by the Obligee, in any bankruptcy proceeding of any Person, of the application or non-application of 11 U.S.C. § 1111(b)(2);</w:t>
      </w:r>
    </w:p>
    <w:p>
      <w:pPr>
        <w:pStyle w:val="StandardL3"/>
        <w:numPr>
          <w:ilvl w:val="2"/>
          <w:numId w:val="3"/>
        </w:numPr>
        <w:ind w:hanging="0" w:start="0"/>
        <w:jc w:val="both"/>
        <w:rPr>
          <w:color w:val="000000"/>
        </w:rPr>
      </w:pPr>
      <w:r>
        <w:rPr>
          <w:color w:val="000000"/>
        </w:rPr>
        <w:t>any extension of credit or the grant of any lien under 11 U.S.C. § 364;</w:t>
      </w:r>
    </w:p>
    <w:p>
      <w:pPr>
        <w:pStyle w:val="StandardL3"/>
        <w:numPr>
          <w:ilvl w:val="2"/>
          <w:numId w:val="3"/>
        </w:numPr>
        <w:ind w:hanging="0" w:start="0"/>
        <w:jc w:val="both"/>
        <w:rPr>
          <w:color w:val="000000"/>
        </w:rPr>
      </w:pPr>
      <w:r>
        <w:rPr>
          <w:color w:val="000000"/>
        </w:rPr>
        <w:t>any use of cash collateral under 11 U.S.C. § 363;</w:t>
      </w:r>
    </w:p>
    <w:p>
      <w:pPr>
        <w:pStyle w:val="StandardL3"/>
        <w:numPr>
          <w:ilvl w:val="2"/>
          <w:numId w:val="3"/>
        </w:numPr>
        <w:ind w:hanging="0" w:start="0"/>
        <w:jc w:val="both"/>
        <w:rPr>
          <w:color w:val="000000"/>
        </w:rPr>
      </w:pPr>
      <w:r>
        <w:rPr>
          <w:color w:val="000000"/>
        </w:rPr>
        <w:t>any agreement or stipulation with respect to the provision of adequate protection in any bankruptcy proceeding of any Person;</w:t>
      </w:r>
    </w:p>
    <w:p>
      <w:pPr>
        <w:pStyle w:val="StandardL3"/>
        <w:numPr>
          <w:ilvl w:val="2"/>
          <w:numId w:val="3"/>
        </w:numPr>
        <w:ind w:hanging="0" w:start="0"/>
        <w:jc w:val="both"/>
        <w:rPr>
          <w:color w:val="000000"/>
        </w:rPr>
      </w:pPr>
      <w:r>
        <w:rPr>
          <w:color w:val="000000"/>
        </w:rPr>
        <w:t>the avoidance of any lien in favor of the Obligee for any reason;</w:t>
      </w:r>
    </w:p>
    <w:p>
      <w:pPr>
        <w:pStyle w:val="StandardL3"/>
        <w:numPr>
          <w:ilvl w:val="2"/>
          <w:numId w:val="3"/>
        </w:numPr>
        <w:ind w:hanging="0" w:start="0"/>
        <w:jc w:val="both"/>
        <w:rPr>
          <w:color w:val="000000"/>
        </w:rPr>
      </w:pPr>
      <w:r>
        <w:rPr>
          <w:color w:val="000000"/>
        </w:rPr>
        <w:t>any bankruptcy, insolvency, reorganization, arrangement, readjustment of debt, liquidation or dissolution proceeding commenced by or against any Person, including any discharge of, or bar or stay against collecting, all or any part of a defaulting Principal's obligations (or any interest on all or any part of a defaulting Principal's obligations) in or as a result of any such proceeding;</w:t>
      </w:r>
    </w:p>
    <w:p>
      <w:pPr>
        <w:pStyle w:val="StandardL3"/>
        <w:numPr>
          <w:ilvl w:val="2"/>
          <w:numId w:val="3"/>
        </w:numPr>
        <w:ind w:hanging="0" w:start="0"/>
        <w:jc w:val="both"/>
        <w:rPr>
          <w:color w:val="000000"/>
        </w:rPr>
      </w:pPr>
      <w:r>
        <w:rPr>
          <w:color w:val="000000"/>
        </w:rPr>
        <w:t>any action taken by the Obligee that is authorized by this paragraph 5 or otherwise in this Bond or by any other provision of any PX Participation Agreement or any omission to take any such action; or</w:t>
      </w:r>
    </w:p>
    <w:p>
      <w:pPr>
        <w:pStyle w:val="StandardL3"/>
        <w:numPr>
          <w:ilvl w:val="2"/>
          <w:numId w:val="3"/>
        </w:numPr>
        <w:ind w:hanging="0" w:start="0"/>
        <w:jc w:val="both"/>
        <w:rPr>
          <w:color w:val="000000"/>
        </w:rPr>
      </w:pPr>
      <w:r>
        <w:rPr>
          <w:color w:val="000000"/>
        </w:rPr>
        <w:t>any other circumstance whatsoever that might otherwise constitute a legal or equitable discharge or defense of a surety or guarantor, including by reason of Sections 2809, 2810, 2815, 2819, 2839, 2845, 2850, 2899, 3275 and 3433 of the California Civil Code, and any future judicial decisions or legislation or of any comparable provisions of the laws of any other jurisdiction.</w:t>
      </w:r>
    </w:p>
    <w:p>
      <w:pPr>
        <w:pStyle w:val="StandardL2"/>
        <w:numPr>
          <w:ilvl w:val="0"/>
          <w:numId w:val="0"/>
        </w:numPr>
        <w:ind w:hanging="720" w:start="1440" w:end="0"/>
        <w:jc w:val="both"/>
        <w:rPr/>
      </w:pPr>
      <w:r>
        <w:rPr>
          <w:color w:val="000000"/>
        </w:rPr>
        <w:t>(c)</w:t>
        <w:tab/>
        <w:t xml:space="preserve">Notwithstanding anything to the contrary which may be contained herein, Surety expressly reserves its right to raise against the Principals any defense(s) which may have been waived by the Surety with respect to the Obligee pursuant to </w:t>
      </w:r>
      <w:r>
        <w:rPr>
          <w:color w:val="000000"/>
          <w:u w:val="single"/>
        </w:rPr>
        <w:t>paragraph 5(b)</w:t>
      </w:r>
      <w:r>
        <w:rPr>
          <w:color w:val="000000"/>
        </w:rPr>
        <w:t>.</w:t>
      </w:r>
    </w:p>
    <w:p>
      <w:pPr>
        <w:pStyle w:val="StandardL2"/>
        <w:numPr>
          <w:ilvl w:val="0"/>
          <w:numId w:val="0"/>
        </w:numPr>
        <w:ind w:hanging="720" w:start="1440" w:end="0"/>
        <w:jc w:val="both"/>
        <w:rPr>
          <w:color w:val="000000"/>
        </w:rPr>
      </w:pPr>
      <w:r>
        <w:rPr>
          <w:color w:val="000000"/>
        </w:rPr>
        <w:t>(d)</w:t>
        <w:tab/>
        <w:t>The Surety expressly waives, for the benefit of the Obligee, all rights to set-off amounts due by the Obligee, including its parent company, to any Principal for debts incurred outside of the Core Market, all counterclaims, and all presentments, demands for payment or performance, notices of nonpayment or nonperformance, protests, notices of protest, notices of dishonor and all other notices or demands of any kind or nature whatsoever with respect to the Principal's obligations, and all notices of acceptance of this Bond or of the existence, creation, incurring or assumption of new or additional obligations.</w:t>
      </w:r>
    </w:p>
    <w:p>
      <w:pPr>
        <w:pStyle w:val="StandardL2"/>
        <w:numPr>
          <w:ilvl w:val="0"/>
          <w:numId w:val="0"/>
        </w:numPr>
        <w:ind w:hanging="720" w:start="1440" w:end="0"/>
        <w:jc w:val="both"/>
        <w:rPr>
          <w:color w:val="000000"/>
        </w:rPr>
      </w:pPr>
      <w:r>
        <w:rPr>
          <w:color w:val="000000"/>
        </w:rPr>
        <w:t>(e)</w:t>
        <w:tab/>
        <w:t>Nothing in this Bond will, or will be construed or applied to, modify the Principals' obligations under the PX Participation Agreements.</w:t>
      </w:r>
    </w:p>
    <w:p>
      <w:pPr>
        <w:pStyle w:val="StandardL1"/>
        <w:numPr>
          <w:ilvl w:val="0"/>
          <w:numId w:val="7"/>
        </w:numPr>
        <w:jc w:val="both"/>
        <w:rPr>
          <w:color w:val="000000"/>
        </w:rPr>
      </w:pPr>
      <w:r>
        <w:rPr>
          <w:color w:val="000000"/>
          <w:u w:val="single"/>
        </w:rPr>
        <w:t>Reinstatement</w:t>
      </w:r>
      <w:r>
        <w:rPr>
          <w:color w:val="000000"/>
        </w:rPr>
        <w:t>.  The obligations of the Surety under this Bond shall be automatically reinstated if and to the extent that, for any reason, any payment or performance by or on behalf of any Principal in respect of such Principal's obligations is rescinded or must be otherwise restored by any holder of any of such obligations, whether as a result of any proceedings in bankruptcy or reorganization or otherwise.</w:t>
      </w:r>
    </w:p>
    <w:p>
      <w:pPr>
        <w:pStyle w:val="StandardL1"/>
        <w:numPr>
          <w:ilvl w:val="0"/>
          <w:numId w:val="3"/>
        </w:numPr>
        <w:ind w:hanging="0" w:start="0"/>
        <w:jc w:val="both"/>
        <w:rPr>
          <w:color w:val="000000"/>
        </w:rPr>
      </w:pPr>
      <w:r>
        <w:rPr>
          <w:color w:val="000000"/>
          <w:u w:val="single"/>
        </w:rPr>
        <w:t>Subrogation</w:t>
      </w:r>
      <w:r>
        <w:rPr>
          <w:color w:val="000000"/>
        </w:rPr>
        <w:t>.  The Surety hereby agrees that until the payment and satisfaction in full of all obligations of the Principals which are the subject of this Bond, it shall not exercise any right or remedy arising by reason of any performance by it under this Bond, whether by subrogation or otherwise, against any other guarantor of any obligations of the Principals.</w:t>
      </w:r>
    </w:p>
    <w:p>
      <w:pPr>
        <w:pStyle w:val="StandardL1"/>
        <w:numPr>
          <w:ilvl w:val="0"/>
          <w:numId w:val="3"/>
        </w:numPr>
        <w:ind w:hanging="0" w:start="0"/>
        <w:jc w:val="both"/>
        <w:rPr>
          <w:color w:val="000000"/>
        </w:rPr>
      </w:pPr>
      <w:r>
        <w:rPr>
          <w:color w:val="000000"/>
          <w:u w:val="single"/>
        </w:rPr>
        <w:t>Remedies</w:t>
      </w:r>
      <w:r>
        <w:rPr>
          <w:color w:val="000000"/>
        </w:rPr>
        <w:t>.  The Surety agrees that, as between the Surety and the Obligee, the payment under this Bond may be declared to be forthwith due and payable, notwithstanding any stay, injunction or other prohibition preventing such declaration as against any Principal and that, in the event of such declaration, such obligations (whether or not due and payable by the Core Market Participant) shall forthwith become due and payable by Surety for purposes of this Bond.  Without limitation on the rights, remedies, powers and privileges of the Obligee hereunder, if any breach shall occur under any PX Participation Agreement, payment under this Bond shall forthwith become due and payable by the Surety.</w:t>
      </w:r>
    </w:p>
    <w:p>
      <w:pPr>
        <w:pStyle w:val="StandardL1"/>
        <w:numPr>
          <w:ilvl w:val="0"/>
          <w:numId w:val="3"/>
        </w:numPr>
        <w:ind w:hanging="0" w:start="0"/>
        <w:jc w:val="both"/>
        <w:rPr>
          <w:color w:val="000000"/>
        </w:rPr>
      </w:pPr>
      <w:r>
        <w:rPr>
          <w:color w:val="000000"/>
          <w:u w:val="single"/>
        </w:rPr>
        <w:t>Dispute Resolution</w:t>
      </w:r>
      <w:r>
        <w:rPr>
          <w:color w:val="000000"/>
        </w:rPr>
        <w:t xml:space="preserve">. The Surety acknowledges and agrees that any dispute under this Bond shall be resolved in accordance with the dispute resolution provisions set forth in Schedule 9 of the PX Tariff (with references to the PX Participant in such Schedule 9 deemed to be references to the Surety). </w:t>
      </w:r>
    </w:p>
    <w:p>
      <w:pPr>
        <w:pStyle w:val="StandardL1"/>
        <w:numPr>
          <w:ilvl w:val="0"/>
          <w:numId w:val="3"/>
        </w:numPr>
        <w:ind w:hanging="0" w:start="0"/>
        <w:jc w:val="both"/>
        <w:rPr>
          <w:color w:val="000000"/>
        </w:rPr>
      </w:pPr>
      <w:r>
        <w:rPr>
          <w:color w:val="000000"/>
          <w:u w:val="single"/>
        </w:rPr>
        <w:t>Costs and Expenses</w:t>
      </w:r>
      <w:r>
        <w:rPr>
          <w:color w:val="000000"/>
        </w:rPr>
        <w:t xml:space="preserve">. The Surety agrees to pay all of the Obligee's costs and expenses (including, without limitation, reasonable attorneys' fees) which may be incurred in connection with the collection or enforcement of the Surety's obligations under this Bond, including all such costs and expenses which may be incurred by the Obligee in any legal action, reference or arbitration proceeding. </w:t>
      </w:r>
    </w:p>
    <w:p>
      <w:pPr>
        <w:pStyle w:val="StandardL1"/>
        <w:numPr>
          <w:ilvl w:val="0"/>
          <w:numId w:val="3"/>
        </w:numPr>
        <w:ind w:hanging="0" w:start="0"/>
        <w:jc w:val="both"/>
        <w:rPr>
          <w:color w:val="000000"/>
        </w:rPr>
      </w:pPr>
      <w:r>
        <w:rPr>
          <w:color w:val="000000"/>
          <w:u w:val="single"/>
        </w:rPr>
        <w:t>Captions</w:t>
      </w:r>
      <w:r>
        <w:rPr>
          <w:color w:val="000000"/>
        </w:rPr>
        <w:t>.  The captions and section headings appearing in this Bond are included solely for convenience of reference and are not intended to affect the meaning or interpretation of any provision of this Bond.</w:t>
      </w:r>
    </w:p>
    <w:p>
      <w:pPr>
        <w:pStyle w:val="StandardL1"/>
        <w:numPr>
          <w:ilvl w:val="0"/>
          <w:numId w:val="3"/>
        </w:numPr>
        <w:ind w:hanging="0" w:start="0"/>
        <w:jc w:val="both"/>
        <w:rPr>
          <w:color w:val="000000"/>
        </w:rPr>
      </w:pPr>
      <w:r>
        <w:rPr>
          <w:color w:val="000000"/>
          <w:u w:val="single"/>
        </w:rPr>
        <w:t>Severability</w:t>
      </w:r>
      <w:r>
        <w:rPr>
          <w:color w:val="000000"/>
        </w:rPr>
        <w:t xml:space="preserve">.  The illegality or unenforceability of any provision of this Bond shall not in any way affect or impair the legality or enforceability of the remaining provisions of this Bond. </w:t>
      </w:r>
    </w:p>
    <w:p>
      <w:pPr>
        <w:pStyle w:val="StandardL1"/>
        <w:numPr>
          <w:ilvl w:val="0"/>
          <w:numId w:val="3"/>
        </w:numPr>
        <w:ind w:hanging="0" w:start="0"/>
        <w:rPr/>
      </w:pPr>
      <w:r>
        <w:rPr>
          <w:u w:val="single"/>
        </w:rPr>
        <w:t xml:space="preserve">Successors and Assigns. </w:t>
      </w:r>
      <w:r>
        <w:rPr/>
        <w:t xml:space="preserve"> This Bond shall be binding upon and inure to the benefit of the respective successors and assigns of the Surety and the PX.  The PX may assign its rights under this Bond, provided the PX notifies the Surety within five (5) business days of the Bond’s assignment, provided further such assignment shall in no way alter, discharge, or change any of the terms and conditions of this Bond or any Indemnity  Agreement.  The Surety may not assign any of its rights under this Bond without the prior written consent of the PX.</w:t>
      </w:r>
    </w:p>
    <w:p>
      <w:pPr>
        <w:pStyle w:val="StandardL1"/>
        <w:numPr>
          <w:ilvl w:val="0"/>
          <w:numId w:val="3"/>
        </w:numPr>
        <w:ind w:hanging="0" w:start="0"/>
        <w:rPr/>
      </w:pPr>
      <w:r>
        <w:rPr>
          <w:u w:val="single"/>
        </w:rPr>
        <w:t>Governing Law</w:t>
      </w:r>
      <w:r>
        <w:rPr/>
        <w:t>.  The Bond executed and delivered shall be governed by and construed in accordance with the laws of the State of California applicable to contracts made and to be performed in California.</w:t>
      </w:r>
    </w:p>
    <w:p>
      <w:pPr>
        <w:pStyle w:val="FlushLeft"/>
        <w:spacing w:before="0" w:after="0"/>
        <w:jc w:val="both"/>
        <w:rPr>
          <w:color w:val="000000"/>
        </w:rPr>
      </w:pPr>
      <w:r>
        <w:rPr>
          <w:color w:val="000000"/>
        </w:rPr>
      </w:r>
    </w:p>
    <w:p>
      <w:pPr>
        <w:pStyle w:val="FlushLeft"/>
        <w:spacing w:before="0" w:after="0"/>
        <w:jc w:val="both"/>
        <w:rPr>
          <w:color w:val="000000"/>
        </w:rPr>
      </w:pPr>
      <w:r>
        <w:rPr>
          <w:color w:val="000000"/>
        </w:rPr>
      </w:r>
    </w:p>
    <w:p>
      <w:pPr>
        <w:pStyle w:val="FlushLeft"/>
        <w:spacing w:before="0" w:after="0"/>
        <w:jc w:val="both"/>
        <w:rPr>
          <w:color w:val="000000"/>
        </w:rPr>
      </w:pPr>
      <w:r>
        <w:rPr>
          <w:color w:val="000000"/>
        </w:rPr>
      </w:r>
    </w:p>
    <w:p>
      <w:pPr>
        <w:pStyle w:val="FlushLeft"/>
        <w:spacing w:before="0" w:after="0"/>
        <w:jc w:val="both"/>
        <w:rPr>
          <w:color w:val="000000"/>
        </w:rPr>
      </w:pPr>
      <w:r>
        <w:rPr>
          <w:color w:val="000000"/>
        </w:rPr>
      </w:r>
    </w:p>
    <w:p>
      <w:pPr>
        <w:pStyle w:val="FlushLeft"/>
        <w:spacing w:before="0" w:after="0"/>
        <w:jc w:val="both"/>
        <w:rPr>
          <w:color w:val="000000"/>
        </w:rPr>
      </w:pPr>
      <w:r>
        <w:rPr>
          <w:color w:val="000000"/>
        </w:rPr>
      </w:r>
    </w:p>
    <w:p>
      <w:pPr>
        <w:pStyle w:val="FlushLeft"/>
        <w:spacing w:before="0" w:after="0"/>
        <w:jc w:val="both"/>
        <w:rPr>
          <w:color w:val="000000"/>
        </w:rPr>
      </w:pPr>
      <w:r>
        <w:rPr>
          <w:color w:val="000000"/>
        </w:rPr>
      </w:r>
    </w:p>
    <w:p>
      <w:pPr>
        <w:pStyle w:val="FlushLeft"/>
        <w:spacing w:before="0" w:after="0"/>
        <w:jc w:val="both"/>
        <w:rPr>
          <w:color w:val="000000"/>
        </w:rPr>
      </w:pPr>
      <w:r>
        <w:rPr>
          <w:color w:val="000000"/>
        </w:rPr>
      </w:r>
    </w:p>
    <w:p>
      <w:pPr>
        <w:pStyle w:val="FlushLeft"/>
        <w:spacing w:before="0" w:after="0"/>
        <w:jc w:val="both"/>
        <w:rPr>
          <w:color w:val="000000"/>
        </w:rPr>
      </w:pPr>
      <w:r>
        <w:rPr>
          <w:color w:val="000000"/>
        </w:rPr>
      </w:r>
    </w:p>
    <w:p>
      <w:pPr>
        <w:pStyle w:val="FlushLeft"/>
        <w:spacing w:before="0" w:after="0"/>
        <w:jc w:val="both"/>
        <w:rPr>
          <w:color w:val="000000"/>
        </w:rPr>
      </w:pPr>
      <w:r>
        <w:rPr>
          <w:color w:val="000000"/>
        </w:rPr>
      </w:r>
    </w:p>
    <w:p>
      <w:pPr>
        <w:pStyle w:val="FlushLeft"/>
        <w:spacing w:before="0" w:after="0"/>
        <w:jc w:val="both"/>
        <w:rPr>
          <w:color w:val="000000"/>
        </w:rPr>
      </w:pPr>
      <w:r>
        <w:rPr>
          <w:color w:val="000000"/>
        </w:rPr>
      </w:r>
    </w:p>
    <w:p>
      <w:pPr>
        <w:pStyle w:val="FlushLeft"/>
        <w:spacing w:before="0" w:after="0"/>
        <w:jc w:val="both"/>
        <w:rPr>
          <w:color w:val="000000"/>
        </w:rPr>
      </w:pPr>
      <w:r>
        <w:rPr>
          <w:color w:val="000000"/>
        </w:rPr>
      </w:r>
    </w:p>
    <w:p>
      <w:pPr>
        <w:pStyle w:val="FlushLeft"/>
        <w:spacing w:before="0" w:after="0"/>
        <w:jc w:val="both"/>
        <w:rPr>
          <w:color w:val="000000"/>
        </w:rPr>
      </w:pPr>
      <w:r>
        <w:rPr>
          <w:color w:val="000000"/>
        </w:rPr>
      </w:r>
    </w:p>
    <w:p>
      <w:pPr>
        <w:pStyle w:val="FlushLeft"/>
        <w:spacing w:before="0" w:after="0"/>
        <w:jc w:val="both"/>
        <w:rPr>
          <w:color w:val="000000"/>
        </w:rPr>
      </w:pPr>
      <w:r>
        <w:rPr>
          <w:color w:val="000000"/>
        </w:rPr>
      </w:r>
    </w:p>
    <w:p>
      <w:pPr>
        <w:pStyle w:val="FlushLeft"/>
        <w:spacing w:before="0" w:after="0"/>
        <w:jc w:val="both"/>
        <w:rPr>
          <w:color w:val="000000"/>
        </w:rPr>
      </w:pPr>
      <w:r>
        <w:rPr>
          <w:color w:val="000000"/>
        </w:rPr>
      </w:r>
    </w:p>
    <w:p>
      <w:pPr>
        <w:pStyle w:val="FlushLeft"/>
        <w:spacing w:before="0" w:after="0"/>
        <w:jc w:val="both"/>
        <w:rPr>
          <w:color w:val="000000"/>
        </w:rPr>
      </w:pPr>
      <w:r>
        <w:rPr>
          <w:color w:val="000000"/>
        </w:rPr>
      </w:r>
    </w:p>
    <w:p>
      <w:pPr>
        <w:pStyle w:val="FlushLeft"/>
        <w:spacing w:before="0" w:after="0"/>
        <w:jc w:val="both"/>
        <w:rPr/>
      </w:pPr>
      <w:r>
        <w:rPr/>
        <w:t>Signed, sealed and dated this 14</w:t>
      </w:r>
      <w:r>
        <w:rPr>
          <w:vertAlign w:val="superscript"/>
        </w:rPr>
        <w:t>th</w:t>
      </w:r>
      <w:r>
        <w:rPr/>
        <w:t xml:space="preserve"> day of August, 2000.                                                                </w:t>
      </w:r>
    </w:p>
    <w:p>
      <w:pPr>
        <w:pStyle w:val="FlushLeft"/>
        <w:spacing w:before="0" w:after="0"/>
        <w:jc w:val="both"/>
        <w:rPr/>
      </w:pPr>
      <w:r>
        <w:rPr/>
      </w:r>
    </w:p>
    <w:p>
      <w:pPr>
        <w:pStyle w:val="FlushLeft"/>
        <w:spacing w:before="0" w:after="0"/>
        <w:ind w:firstLine="720" w:start="3600" w:end="0"/>
        <w:jc w:val="both"/>
        <w:rPr/>
      </w:pPr>
      <w:r>
        <w:rPr/>
        <w:t xml:space="preserve">SURETY: American Home Assurance Company </w:t>
      </w:r>
    </w:p>
    <w:p>
      <w:pPr>
        <w:pStyle w:val="Signature"/>
        <w:ind w:start="0" w:end="0"/>
        <w:jc w:val="both"/>
        <w:rPr>
          <w:color w:val="000000"/>
        </w:rPr>
      </w:pPr>
      <w:r>
        <w:rPr>
          <w:color w:val="000000"/>
        </w:rPr>
      </w:r>
    </w:p>
    <w:p>
      <w:pPr>
        <w:pStyle w:val="Signature"/>
        <w:jc w:val="both"/>
        <w:rPr/>
      </w:pPr>
      <w:r>
        <w:rPr>
          <w:color w:val="000000"/>
        </w:rPr>
        <w:t>By:</w:t>
        <w:tab/>
      </w:r>
      <w:r>
        <w:rPr>
          <w:color w:val="000000"/>
          <w:u w:val="single"/>
        </w:rPr>
        <w:tab/>
        <w:tab/>
        <w:tab/>
        <w:tab/>
        <w:tab/>
      </w:r>
      <w:r>
        <w:rPr>
          <w:color w:val="000000"/>
        </w:rPr>
        <w:t xml:space="preserve"> (seal)</w:t>
        <w:br/>
        <w:tab/>
        <w:t>Jeffrey Strassner, Attorney-in-Fact</w:t>
      </w:r>
    </w:p>
    <w:p>
      <w:pPr>
        <w:pStyle w:val="Signature"/>
        <w:ind w:start="0" w:end="0"/>
        <w:jc w:val="both"/>
        <w:rPr>
          <w:color w:val="000000"/>
        </w:rPr>
      </w:pPr>
      <w:r>
        <w:rPr>
          <w:color w:val="000000"/>
        </w:rPr>
      </w:r>
    </w:p>
    <w:p>
      <w:pPr>
        <w:pStyle w:val="Signature"/>
        <w:ind w:start="0" w:end="0"/>
        <w:jc w:val="both"/>
        <w:rPr>
          <w:color w:val="000000"/>
          <w:u w:val="single"/>
        </w:rPr>
      </w:pPr>
      <w:r>
        <w:rPr>
          <w:color w:val="000000"/>
          <w:u w:val="single"/>
        </w:rPr>
        <w:t>List of Exhibits</w:t>
      </w:r>
    </w:p>
    <w:p>
      <w:pPr>
        <w:pStyle w:val="Signature"/>
        <w:ind w:start="0" w:end="0"/>
        <w:jc w:val="both"/>
        <w:rPr>
          <w:color w:val="000000"/>
        </w:rPr>
      </w:pPr>
      <w:r>
        <w:rPr>
          <w:color w:val="000000"/>
        </w:rPr>
        <w:t>Exhibit A – List of Principals</w:t>
      </w:r>
    </w:p>
    <w:p>
      <w:pPr>
        <w:pStyle w:val="Signature"/>
        <w:ind w:start="0" w:end="0"/>
        <w:jc w:val="both"/>
        <w:rPr>
          <w:color w:val="000000"/>
        </w:rPr>
      </w:pPr>
      <w:r>
        <w:rPr>
          <w:color w:val="000000"/>
        </w:rPr>
        <w:t>Exhibit B – Form of Demand for Payment</w:t>
      </w:r>
    </w:p>
    <w:p>
      <w:pPr>
        <w:pStyle w:val="Signature"/>
        <w:ind w:start="0" w:end="0"/>
        <w:jc w:val="both"/>
        <w:rPr>
          <w:color w:val="000000"/>
        </w:rPr>
      </w:pPr>
      <w:r>
        <w:rPr>
          <w:color w:val="000000"/>
        </w:rPr>
      </w:r>
      <w:r>
        <w:br w:type="page"/>
      </w:r>
    </w:p>
    <w:p>
      <w:pPr>
        <w:pStyle w:val="Signature"/>
        <w:ind w:start="0" w:end="0"/>
        <w:rPr>
          <w:color w:val="000000"/>
        </w:rPr>
      </w:pPr>
      <w:r>
        <w:rPr>
          <w:color w:val="000000"/>
        </w:rPr>
      </w:r>
    </w:p>
    <w:p>
      <w:pPr>
        <w:pStyle w:val="FlushLeft"/>
        <w:rPr>
          <w:color w:val="000000"/>
        </w:rPr>
      </w:pPr>
      <w:r>
        <w:rPr>
          <w:color w:val="000000"/>
        </w:rPr>
        <w:t>EXHIBIT A TO POOL BOND NO. ___</w:t>
      </w:r>
    </w:p>
    <w:p>
      <w:pPr>
        <w:pStyle w:val="FlushLeft"/>
        <w:rPr>
          <w:color w:val="000000"/>
          <w:u w:val="single"/>
        </w:rPr>
      </w:pPr>
      <w:r>
        <w:rPr>
          <w:color w:val="000000"/>
          <w:u w:val="single"/>
        </w:rPr>
        <w:t>PRINCIPALS</w:t>
      </w:r>
    </w:p>
    <w:p>
      <w:pPr>
        <w:pStyle w:val="FlushLeft"/>
        <w:rPr>
          <w:color w:val="000000"/>
          <w:u w:val="single"/>
        </w:rPr>
      </w:pPr>
      <w:r>
        <w:rPr>
          <w:color w:val="000000"/>
          <w:u w:val="single"/>
        </w:rPr>
      </w:r>
    </w:p>
    <w:p>
      <w:pPr>
        <w:pStyle w:val="FlushLeft"/>
        <w:spacing w:before="0" w:after="0"/>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6588"/>
        <w:gridCol w:w="2988"/>
      </w:tblGrid>
      <w:tr>
        <w:trPr/>
        <w:tc>
          <w:tcPr>
            <w:tcW w:w="6588" w:type="dxa"/>
            <w:tcBorders/>
            <w:vAlign w:val="bottom"/>
          </w:tcPr>
          <w:p>
            <w:pPr>
              <w:pStyle w:val="FlushLeft"/>
              <w:spacing w:before="0" w:after="0"/>
              <w:rPr>
                <w:color w:val="000000"/>
                <w:u w:val="single"/>
              </w:rPr>
            </w:pPr>
            <w:r>
              <w:rPr>
                <w:color w:val="000000"/>
                <w:u w:val="single"/>
              </w:rPr>
              <w:t>Principal's Name</w:t>
            </w:r>
          </w:p>
        </w:tc>
        <w:tc>
          <w:tcPr>
            <w:tcW w:w="2988" w:type="dxa"/>
            <w:tcBorders/>
            <w:vAlign w:val="bottom"/>
          </w:tcPr>
          <w:p>
            <w:pPr>
              <w:pStyle w:val="FlushLeft"/>
              <w:spacing w:before="0" w:after="0"/>
              <w:rPr>
                <w:color w:val="000000"/>
              </w:rPr>
            </w:pPr>
            <w:r>
              <w:rPr>
                <w:color w:val="000000"/>
              </w:rPr>
              <w:t>PX Participation</w:t>
            </w:r>
          </w:p>
          <w:p>
            <w:pPr>
              <w:pStyle w:val="FlushLeft"/>
              <w:spacing w:before="0" w:after="0"/>
              <w:rPr>
                <w:color w:val="000000"/>
                <w:u w:val="single"/>
              </w:rPr>
            </w:pPr>
            <w:r>
              <w:rPr>
                <w:color w:val="000000"/>
                <w:u w:val="single"/>
              </w:rPr>
              <w:t>Agreement Date</w:t>
            </w:r>
          </w:p>
        </w:tc>
      </w:tr>
      <w:tr>
        <w:trPr/>
        <w:tc>
          <w:tcPr>
            <w:tcW w:w="6588" w:type="dxa"/>
            <w:tcBorders/>
          </w:tcPr>
          <w:p>
            <w:pPr>
              <w:pStyle w:val="FlushLeft"/>
              <w:snapToGrid w:val="false"/>
              <w:spacing w:before="0" w:after="0"/>
              <w:rPr>
                <w:color w:val="000000"/>
                <w:u w:val="single"/>
              </w:rPr>
            </w:pPr>
            <w:r>
              <w:rPr>
                <w:color w:val="000000"/>
                <w:u w:val="single"/>
              </w:rPr>
            </w:r>
          </w:p>
        </w:tc>
        <w:tc>
          <w:tcPr>
            <w:tcW w:w="2988" w:type="dxa"/>
            <w:tcBorders/>
          </w:tcPr>
          <w:p>
            <w:pPr>
              <w:pStyle w:val="FlushLeft"/>
              <w:snapToGrid w:val="false"/>
              <w:spacing w:before="0" w:after="0"/>
              <w:rPr>
                <w:color w:val="000000"/>
              </w:rPr>
            </w:pPr>
            <w:r>
              <w:rPr>
                <w:color w:val="000000"/>
              </w:rPr>
            </w:r>
          </w:p>
        </w:tc>
      </w:tr>
      <w:tr>
        <w:trPr/>
        <w:tc>
          <w:tcPr>
            <w:tcW w:w="6588" w:type="dxa"/>
            <w:tcBorders/>
          </w:tcPr>
          <w:p>
            <w:pPr>
              <w:pStyle w:val="FlushLeft"/>
              <w:snapToGrid w:val="false"/>
              <w:spacing w:before="0" w:after="0"/>
              <w:rPr>
                <w:color w:val="000000"/>
              </w:rPr>
            </w:pPr>
            <w:r>
              <w:rPr>
                <w:color w:val="000000"/>
              </w:rPr>
            </w:r>
          </w:p>
        </w:tc>
        <w:tc>
          <w:tcPr>
            <w:tcW w:w="2988" w:type="dxa"/>
            <w:tcBorders/>
          </w:tcPr>
          <w:p>
            <w:pPr>
              <w:pStyle w:val="FlushLeft"/>
              <w:snapToGrid w:val="false"/>
              <w:spacing w:before="0" w:after="0"/>
              <w:rPr>
                <w:color w:val="000000"/>
              </w:rPr>
            </w:pPr>
            <w:r>
              <w:rPr>
                <w:color w:val="000000"/>
              </w:rPr>
            </w:r>
          </w:p>
        </w:tc>
      </w:tr>
      <w:tr>
        <w:trPr/>
        <w:tc>
          <w:tcPr>
            <w:tcW w:w="6588" w:type="dxa"/>
            <w:tcBorders/>
          </w:tcPr>
          <w:p>
            <w:pPr>
              <w:pStyle w:val="FlushLeft"/>
              <w:snapToGrid w:val="false"/>
              <w:spacing w:before="0" w:after="0"/>
              <w:rPr>
                <w:color w:val="000000"/>
              </w:rPr>
            </w:pPr>
            <w:r>
              <w:rPr>
                <w:color w:val="000000"/>
              </w:rPr>
            </w:r>
          </w:p>
        </w:tc>
        <w:tc>
          <w:tcPr>
            <w:tcW w:w="2988" w:type="dxa"/>
            <w:tcBorders/>
          </w:tcPr>
          <w:p>
            <w:pPr>
              <w:pStyle w:val="FlushLeft"/>
              <w:snapToGrid w:val="false"/>
              <w:spacing w:before="0" w:after="0"/>
              <w:rPr>
                <w:color w:val="000000"/>
              </w:rPr>
            </w:pPr>
            <w:r>
              <w:rPr>
                <w:color w:val="000000"/>
              </w:rPr>
            </w:r>
          </w:p>
        </w:tc>
      </w:tr>
      <w:tr>
        <w:trPr/>
        <w:tc>
          <w:tcPr>
            <w:tcW w:w="6588" w:type="dxa"/>
            <w:tcBorders/>
          </w:tcPr>
          <w:p>
            <w:pPr>
              <w:pStyle w:val="FlushLeft"/>
              <w:snapToGrid w:val="false"/>
              <w:spacing w:before="0" w:after="0"/>
              <w:rPr>
                <w:color w:val="000000"/>
              </w:rPr>
            </w:pPr>
            <w:r>
              <w:rPr>
                <w:color w:val="000000"/>
              </w:rPr>
            </w:r>
          </w:p>
        </w:tc>
        <w:tc>
          <w:tcPr>
            <w:tcW w:w="2988" w:type="dxa"/>
            <w:tcBorders/>
          </w:tcPr>
          <w:p>
            <w:pPr>
              <w:pStyle w:val="FlushLeft"/>
              <w:snapToGrid w:val="false"/>
              <w:spacing w:before="0" w:after="0"/>
              <w:rPr>
                <w:color w:val="000000"/>
              </w:rPr>
            </w:pPr>
            <w:r>
              <w:rPr>
                <w:color w:val="000000"/>
              </w:rPr>
            </w:r>
          </w:p>
        </w:tc>
      </w:tr>
      <w:tr>
        <w:trPr/>
        <w:tc>
          <w:tcPr>
            <w:tcW w:w="6588" w:type="dxa"/>
            <w:tcBorders/>
          </w:tcPr>
          <w:p>
            <w:pPr>
              <w:pStyle w:val="FlushLeft"/>
              <w:snapToGrid w:val="false"/>
              <w:spacing w:before="0" w:after="0"/>
              <w:rPr>
                <w:color w:val="000000"/>
              </w:rPr>
            </w:pPr>
            <w:r>
              <w:rPr>
                <w:color w:val="000000"/>
              </w:rPr>
            </w:r>
          </w:p>
        </w:tc>
        <w:tc>
          <w:tcPr>
            <w:tcW w:w="2988" w:type="dxa"/>
            <w:tcBorders/>
          </w:tcPr>
          <w:p>
            <w:pPr>
              <w:pStyle w:val="FlushLeft"/>
              <w:snapToGrid w:val="false"/>
              <w:spacing w:before="0" w:after="0"/>
              <w:rPr>
                <w:color w:val="000000"/>
              </w:rPr>
            </w:pPr>
            <w:r>
              <w:rPr>
                <w:color w:val="000000"/>
              </w:rPr>
            </w:r>
          </w:p>
        </w:tc>
      </w:tr>
      <w:tr>
        <w:trPr/>
        <w:tc>
          <w:tcPr>
            <w:tcW w:w="6588" w:type="dxa"/>
            <w:tcBorders/>
          </w:tcPr>
          <w:p>
            <w:pPr>
              <w:pStyle w:val="FlushLeft"/>
              <w:snapToGrid w:val="false"/>
              <w:spacing w:before="0" w:after="0"/>
              <w:rPr>
                <w:color w:val="000000"/>
              </w:rPr>
            </w:pPr>
            <w:r>
              <w:rPr>
                <w:color w:val="000000"/>
              </w:rPr>
            </w:r>
          </w:p>
        </w:tc>
        <w:tc>
          <w:tcPr>
            <w:tcW w:w="2988" w:type="dxa"/>
            <w:tcBorders/>
          </w:tcPr>
          <w:p>
            <w:pPr>
              <w:pStyle w:val="FlushLeft"/>
              <w:snapToGrid w:val="false"/>
              <w:spacing w:before="0" w:after="0"/>
              <w:rPr>
                <w:color w:val="000000"/>
              </w:rPr>
            </w:pPr>
            <w:r>
              <w:rPr>
                <w:color w:val="000000"/>
              </w:rPr>
            </w:r>
          </w:p>
        </w:tc>
      </w:tr>
      <w:tr>
        <w:trPr/>
        <w:tc>
          <w:tcPr>
            <w:tcW w:w="6588" w:type="dxa"/>
            <w:tcBorders/>
          </w:tcPr>
          <w:p>
            <w:pPr>
              <w:pStyle w:val="FlushLeft"/>
              <w:snapToGrid w:val="false"/>
              <w:spacing w:before="0" w:after="0"/>
              <w:rPr>
                <w:color w:val="000000"/>
              </w:rPr>
            </w:pPr>
            <w:r>
              <w:rPr>
                <w:color w:val="000000"/>
              </w:rPr>
            </w:r>
          </w:p>
        </w:tc>
        <w:tc>
          <w:tcPr>
            <w:tcW w:w="2988" w:type="dxa"/>
            <w:tcBorders/>
          </w:tcPr>
          <w:p>
            <w:pPr>
              <w:pStyle w:val="FlushLeft"/>
              <w:snapToGrid w:val="false"/>
              <w:spacing w:before="0" w:after="0"/>
              <w:rPr>
                <w:color w:val="000000"/>
              </w:rPr>
            </w:pPr>
            <w:r>
              <w:rPr>
                <w:color w:val="000000"/>
              </w:rPr>
            </w:r>
          </w:p>
        </w:tc>
      </w:tr>
    </w:tbl>
    <w:p>
      <w:pPr>
        <w:pStyle w:val="FlushRight"/>
        <w:jc w:val="start"/>
        <w:rPr>
          <w:b w:val="false"/>
          <w:color w:val="000000"/>
          <w:u w:val="single"/>
        </w:rPr>
      </w:pPr>
      <w:r>
        <w:br w:type="page"/>
      </w:r>
      <w:r>
        <w:rPr>
          <w:b w:val="false"/>
          <w:color w:val="000000"/>
        </w:rPr>
        <w:t>EXHIBIT B TO POOL BOND NO. _______</w:t>
      </w:r>
    </w:p>
    <w:p>
      <w:pPr>
        <w:pStyle w:val="Centered"/>
        <w:jc w:val="start"/>
        <w:rPr>
          <w:b/>
          <w:color w:val="000000"/>
          <w:u w:val="single"/>
        </w:rPr>
      </w:pPr>
      <w:r>
        <w:rPr>
          <w:b/>
          <w:color w:val="000000"/>
          <w:u w:val="single"/>
        </w:rPr>
      </w:r>
    </w:p>
    <w:p>
      <w:pPr>
        <w:pStyle w:val="Centered"/>
        <w:jc w:val="start"/>
        <w:rPr>
          <w:color w:val="000000"/>
        </w:rPr>
      </w:pPr>
      <w:r>
        <w:rPr>
          <w:color w:val="000000"/>
        </w:rPr>
        <w:t>[FORM OF DEMAND FOR PAYMENT]</w:t>
      </w:r>
    </w:p>
    <w:p>
      <w:pPr>
        <w:pStyle w:val="Centered"/>
        <w:jc w:val="start"/>
        <w:rPr>
          <w:color w:val="000000"/>
        </w:rPr>
      </w:pPr>
      <w:r>
        <w:rPr>
          <w:color w:val="000000"/>
        </w:rPr>
        <w:t>(Date)</w:t>
      </w:r>
    </w:p>
    <w:p>
      <w:pPr>
        <w:pStyle w:val="Address"/>
        <w:rPr>
          <w:color w:val="000000"/>
        </w:rPr>
      </w:pPr>
      <w:r>
        <w:rPr>
          <w:color w:val="000000"/>
        </w:rPr>
        <w:t>(Address of Surety)</w:t>
        <w:br/>
        <w:br/>
        <w:br/>
      </w:r>
    </w:p>
    <w:p>
      <w:pPr>
        <w:pStyle w:val="Re"/>
        <w:rPr>
          <w:color w:val="000000"/>
        </w:rPr>
      </w:pPr>
      <w:r>
        <w:rPr>
          <w:color w:val="000000"/>
        </w:rPr>
        <w:t>RE:</w:t>
        <w:tab/>
      </w:r>
      <w:r>
        <w:rPr>
          <w:color w:val="000000"/>
          <w:u w:val="single"/>
        </w:rPr>
        <w:t>Core Market</w:t>
      </w:r>
      <w:r>
        <w:rPr>
          <w:color w:val="000000"/>
        </w:rPr>
        <w:t xml:space="preserve"> Pool Security Bond Number </w:t>
      </w:r>
      <w:r>
        <w:rPr>
          <w:color w:val="000000"/>
          <w:u w:val="single"/>
        </w:rPr>
        <w:tab/>
        <w:tab/>
        <w:tab/>
        <w:t xml:space="preserve"> </w:t>
      </w:r>
      <w:r>
        <w:rPr>
          <w:color w:val="000000"/>
        </w:rPr>
        <w:t>(the "</w:t>
      </w:r>
      <w:r>
        <w:rPr>
          <w:color w:val="000000"/>
          <w:u w:val="single"/>
        </w:rPr>
        <w:t>Bond</w:t>
      </w:r>
      <w:r>
        <w:rPr>
          <w:color w:val="000000"/>
        </w:rPr>
        <w:t xml:space="preserve">") </w:t>
      </w:r>
      <w:r>
        <w:rPr>
          <w:color w:val="000000"/>
          <w:u w:val="single"/>
        </w:rPr>
        <w:br/>
        <w:t>Demand for Payment</w:t>
      </w:r>
    </w:p>
    <w:p>
      <w:pPr>
        <w:pStyle w:val="Salutation"/>
        <w:rPr>
          <w:color w:val="000000"/>
        </w:rPr>
      </w:pPr>
      <w:r>
        <w:rPr>
          <w:color w:val="000000"/>
        </w:rPr>
        <w:t>Gentlemen:</w:t>
      </w:r>
    </w:p>
    <w:p>
      <w:pPr>
        <w:pStyle w:val="FlushLeft"/>
        <w:ind w:firstLine="720" w:end="0"/>
        <w:rPr>
          <w:color w:val="000000"/>
        </w:rPr>
      </w:pPr>
      <w:r>
        <w:rPr>
          <w:color w:val="000000"/>
        </w:rPr>
        <w:t>This letter constitutes a Demand for Payment as defined in the Bond.  All capitalized terms used and not otherwise defined herein shall have the meanings assigned in the Bond.</w:t>
      </w:r>
    </w:p>
    <w:p>
      <w:pPr>
        <w:pStyle w:val="FlushLeftItalic"/>
        <w:ind w:firstLine="720" w:end="0"/>
        <w:rPr/>
      </w:pPr>
      <w:r>
        <w:rPr>
          <w:i w:val="false"/>
          <w:color w:val="000000"/>
        </w:rPr>
        <w:t xml:space="preserve">A Principal, [insert name of the Principal], has defaulted in the performance of an obligation contained in its </w:t>
      </w:r>
      <w:r>
        <w:rPr>
          <w:i w:val="false"/>
          <w:color w:val="000000"/>
          <w:u w:val="single"/>
        </w:rPr>
        <w:t>PX Participation Agreement</w:t>
      </w:r>
      <w:r>
        <w:rPr>
          <w:i w:val="false"/>
          <w:color w:val="000000"/>
        </w:rPr>
        <w:t xml:space="preserve"> and its Principal-Specific Collateral has been fully liquidated or otherwise exhausted in accordance with its </w:t>
      </w:r>
      <w:r>
        <w:rPr>
          <w:i w:val="false"/>
          <w:color w:val="000000"/>
          <w:u w:val="single"/>
        </w:rPr>
        <w:t>PX Participation Agreement</w:t>
      </w:r>
      <w:r>
        <w:rPr>
          <w:i w:val="false"/>
          <w:color w:val="000000"/>
        </w:rPr>
        <w:t xml:space="preserve"> to pay any and all claims that may be outstanding by the defaulting Principal to us.  For the purposes of this demand notice, the phrase "fully liquidated or otherwise exhausted" means that there still remains amounts due and owing by such Principal under its </w:t>
      </w:r>
      <w:r>
        <w:rPr>
          <w:i w:val="false"/>
          <w:color w:val="000000"/>
          <w:u w:val="single"/>
        </w:rPr>
        <w:t>PX Participation Agreement</w:t>
      </w:r>
      <w:r>
        <w:rPr>
          <w:i w:val="false"/>
          <w:color w:val="000000"/>
        </w:rPr>
        <w:t xml:space="preserve"> notwithstanding the fact that (i) we have issued demands for payment under its </w:t>
      </w:r>
      <w:r>
        <w:rPr>
          <w:i w:val="false"/>
          <w:color w:val="000000"/>
          <w:u w:val="single"/>
        </w:rPr>
        <w:t>PX Participation Agreement</w:t>
      </w:r>
      <w:r>
        <w:rPr>
          <w:i w:val="false"/>
          <w:color w:val="000000"/>
        </w:rPr>
        <w:t xml:space="preserve"> and its Principal-Specific Collateral which for any reason whatsoever have not been paid in full within two Business Days of such demand and/or (ii) all amounts available to be paid under its Principal-Specific Collateral have been paid in full.</w:t>
      </w:r>
    </w:p>
    <w:p>
      <w:pPr>
        <w:pStyle w:val="FlushLeftItalic"/>
        <w:ind w:firstLine="720" w:end="0"/>
        <w:rPr>
          <w:i w:val="false"/>
          <w:i w:val="false"/>
          <w:color w:val="000000"/>
        </w:rPr>
      </w:pPr>
      <w:r>
        <w:rPr>
          <w:i w:val="false"/>
          <w:color w:val="000000"/>
        </w:rPr>
        <w:t xml:space="preserve">The amount of unpaid obligations as of the date hereof is _______________________.  Please pay such amount in accordance with the following payment instructions:  </w:t>
      </w:r>
    </w:p>
    <w:p>
      <w:pPr>
        <w:pStyle w:val="FlushLeft"/>
        <w:rPr>
          <w:i/>
          <w:i/>
          <w:color w:val="000000"/>
        </w:rPr>
      </w:pPr>
      <w:r>
        <w:rPr>
          <w:i/>
          <w:color w:val="000000"/>
        </w:rPr>
      </w:r>
    </w:p>
    <w:p>
      <w:pPr>
        <w:pStyle w:val="FlushLeft"/>
        <w:rPr>
          <w:color w:val="000000"/>
          <w:u w:val="single"/>
        </w:rPr>
      </w:pPr>
      <w:r>
        <w:rPr>
          <w:color w:val="000000"/>
        </w:rPr>
        <w:t>CALIFORNIA POWER EXCHANGE CORPORATION</w:t>
        <w:br/>
        <w:br/>
        <w:t xml:space="preserve">By: </w:t>
        <w:tab/>
        <w:t>_________________________________</w:t>
        <w:br/>
        <w:t>Name:  _________________________________</w:t>
        <w:br/>
        <w:t>Title:  __________________________________</w:t>
      </w:r>
    </w:p>
    <w:p>
      <w:pPr>
        <w:pStyle w:val="FlushLeft"/>
        <w:rPr>
          <w:color w:val="000000"/>
          <w:u w:val="single"/>
        </w:rPr>
      </w:pPr>
      <w:r>
        <w:rPr>
          <w:color w:val="000000"/>
          <w:u w:val="single"/>
        </w:rPr>
      </w:r>
    </w:p>
    <w:p>
      <w:pPr>
        <w:pStyle w:val="Normal"/>
        <w:rPr>
          <w:color w:val="000000"/>
        </w:rPr>
      </w:pPr>
      <w:r>
        <w:rPr>
          <w:color w:val="000000"/>
        </w:rPr>
      </w:r>
    </w:p>
    <w:sectPr>
      <w:footerReference w:type="default" r:id="rId2"/>
      <w:footerReference w:type="first" r:id="rId3"/>
      <w:type w:val="continuous"/>
      <w:pgSz w:w="12240" w:h="15840"/>
      <w:pgMar w:left="1440" w:right="1440" w:gutter="0" w:header="0" w:top="1440" w:footer="720" w:bottom="144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Bold">
    <w:altName w:val="Times New Roman"/>
    <w:charset w:val="00" w:characterSet="windows-1252"/>
    <w:family w:val="roman"/>
    <w:pitch w:val="default"/>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LA1:#6143532v2</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LA1:#6143532v2</w:t>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suff w:val="space"/>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nish w:val="false"/>
        <w:rFonts w:ascii="CG Times Bold;Times New Roman" w:hAnsi="CG Times Bold;Times New Roman" w:cs="CG Times Bold;Times New Roman"/>
        <w:color w:val="auto"/>
      </w:rPr>
    </w:lvl>
    <w:lvl w:ilvl="1">
      <w:start w:val="1"/>
      <w:numFmt w:val="decimal"/>
      <w:lvlText w:val="Section %1.%2."/>
      <w:lvlJc w:val="start"/>
      <w:pPr>
        <w:tabs>
          <w:tab w:val="num" w:pos="288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lvl w:ilvl="2">
      <w:start w:val="1"/>
      <w:numFmt w:val="decimal"/>
      <w:lvlText w:val="%1.%2.%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lvl w:ilvl="3">
      <w:start w:val="1"/>
      <w:numFmt w:val="lowerLetter"/>
      <w:lvlText w:val="(%4)"/>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lvl w:ilvl="4">
      <w:start w:val="1"/>
      <w:numFmt w:val="lowerRoman"/>
      <w:lvlText w:val="(%5)"/>
      <w:lvlJc w:val="start"/>
      <w:pPr>
        <w:tabs>
          <w:tab w:val="num" w:pos="216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G Times" w:hAnsi="CG Times" w:cs="CG Times"/>
        <w:color w:val="auto"/>
      </w:rPr>
    </w:lvl>
  </w:abstractNum>
  <w:abstractNum w:abstractNumId="3">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abstractNum w:abstractNumId="4">
    <w:lvl w:ilvl="0">
      <w:start w:val="1"/>
      <w:numFmt w:val="decimal"/>
      <w:lvlText w:val="%1."/>
      <w:lvlJc w:val="start"/>
      <w:pPr>
        <w:tabs>
          <w:tab w:val="num" w:pos="720"/>
        </w:tabs>
        <w:ind w:start="720" w:hanging="720"/>
      </w:pPr>
      <w:rPr/>
    </w:lvl>
  </w:abstractNum>
  <w:abstractNum w:abstractNumId="5">
    <w:lvl w:ilvl="0">
      <w:start w:val="5"/>
      <w:numFmt w:val="decimal"/>
      <w:lvlText w:val="%1"/>
      <w:lvlJc w:val="start"/>
      <w:pPr>
        <w:tabs>
          <w:tab w:val="num" w:pos="720"/>
        </w:tabs>
        <w:ind w:start="720" w:hanging="720"/>
      </w:pPr>
      <w:rPr/>
    </w:lvl>
    <w:lvl w:ilvl="1">
      <w:start w:val="6"/>
      <w:numFmt w:val="decimalZero"/>
      <w:lvlText w:val="%1.%2"/>
      <w:lvlJc w:val="start"/>
      <w:pPr>
        <w:tabs>
          <w:tab w:val="num" w:pos="2160"/>
        </w:tabs>
        <w:ind w:start="2160" w:hanging="720"/>
      </w:pPr>
      <w:rPr>
        <w:u w:val="none"/>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6">
    <w:lvl w:ilvl="0">
      <w:start w:val="1"/>
      <w:numFmt w:val="decimal"/>
      <w:lvlText w:val="Section %1."/>
      <w:lvlJc w:val="start"/>
      <w:pPr>
        <w:tabs>
          <w:tab w:val="num" w:pos="252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Section %1.%2"/>
      <w:lvlJc w:val="start"/>
      <w:pPr>
        <w:tabs>
          <w:tab w:val="num" w:pos="252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2520"/>
        </w:tabs>
        <w:ind w:start="72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3600"/>
        </w:tabs>
        <w:ind w:start="144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Letter"/>
      <w:lvlText w:val="(%6)"/>
      <w:lvlJc w:val="start"/>
      <w:pPr>
        <w:tabs>
          <w:tab w:val="num" w:pos="3960"/>
        </w:tabs>
        <w:ind w:start="0" w:firstLine="3600"/>
      </w:pPr>
      <w:rPr>
        <w:sz w:val="24"/>
        <w:rFonts w:ascii="Times New Roman" w:hAnsi="Times New Roman" w:cs="Times New Roman"/>
      </w:rPr>
    </w:lvl>
    <w:lvl w:ilvl="6">
      <w:start w:val="1"/>
      <w:numFmt w:val="decimal"/>
      <w:lvlText w:val="(%7)"/>
      <w:lvlJc w:val="start"/>
      <w:pPr>
        <w:tabs>
          <w:tab w:val="num" w:pos="4680"/>
        </w:tabs>
        <w:ind w:start="0" w:firstLine="4320"/>
      </w:pPr>
      <w:rPr>
        <w:sz w:val="24"/>
        <w:rFonts w:ascii="Times New Roman" w:hAnsi="Times New Roman" w:cs="Times New Roman"/>
      </w:rPr>
    </w:lvl>
    <w:lvl w:ilvl="7">
      <w:start w:val="1"/>
      <w:numFmt w:val="lowerRoman"/>
      <w:lvlText w:val="(%8)"/>
      <w:lvlJc w:val="start"/>
      <w:pPr>
        <w:tabs>
          <w:tab w:val="num" w:pos="5760"/>
        </w:tabs>
        <w:ind w:start="0" w:firstLine="5040"/>
      </w:pPr>
      <w:rPr>
        <w:sz w:val="24"/>
        <w:rFonts w:ascii="Times New Roman" w:hAnsi="Times New Roman" w:cs="Times New Roman"/>
      </w:rPr>
    </w:lvl>
    <w:lvl w:ilvl="8">
      <w:start w:val="1"/>
      <w:numFmt w:val="lowerLetter"/>
      <w:lvlText w:val="(%9)"/>
      <w:lvlJc w:val="start"/>
      <w:pPr>
        <w:tabs>
          <w:tab w:val="num" w:pos="6120"/>
        </w:tabs>
        <w:ind w:start="0" w:firstLine="5760"/>
      </w:pPr>
      <w:rPr>
        <w:sz w:val="24"/>
        <w:rFonts w:ascii="Times New Roman" w:hAnsi="Times New Roman" w:cs="Times New Roman"/>
      </w:rPr>
    </w:lvl>
  </w:abstractNum>
  <w:abstractNum w:abstractNumId="7">
    <w:lvl w:ilvl="0">
      <w:start w:val="6"/>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sz w:val="24"/>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sz w:val="24"/>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z w:val="24"/>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z w:val="24"/>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z w:val="24"/>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z w:val="24"/>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z w:val="24"/>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z w:val="24"/>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CG Times Bold;Times New Roman" w:hAnsi="CG Times Bold;Times New Roman" w:cs="CG Times Bold;Times New Roman"/>
      <w:b/>
      <w:i w:val="false"/>
      <w:caps/>
      <w:strike w:val="false"/>
      <w:dstrike w:val="false"/>
      <w:outline w:val="false"/>
      <w:shadow w:val="false"/>
      <w:vanish w:val="false"/>
      <w:color w:val="auto"/>
      <w:position w:val="0"/>
      <w:sz w:val="24"/>
      <w:sz w:val="24"/>
      <w:u w:val="none"/>
      <w:vertAlign w:val="baseline"/>
    </w:rPr>
  </w:style>
  <w:style w:type="character" w:styleId="WW8Num12z1">
    <w:name w:val="WW8Num12z1"/>
    <w:qFormat/>
    <w:rPr>
      <w:rFonts w:ascii="CG Times" w:hAnsi="CG Times" w:cs="CG Times"/>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2z2">
    <w:name w:val="WW8Num12z2"/>
    <w:qFormat/>
    <w:rPr>
      <w:rFonts w:ascii="CG Times" w:hAnsi="CG Times" w:cs="CG Times"/>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0">
    <w:name w:val="WW8Num13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z0">
    <w:name w:val="WW8Num14z0"/>
    <w:qFormat/>
    <w:rPr/>
  </w:style>
  <w:style w:type="character" w:styleId="WW8Num15z0">
    <w:name w:val="WW8Num15z0"/>
    <w:qFormat/>
    <w:rPr/>
  </w:style>
  <w:style w:type="character" w:styleId="WW8Num15z1">
    <w:name w:val="WW8Num15z1"/>
    <w:qFormat/>
    <w:rPr>
      <w:u w:val="none"/>
    </w:rPr>
  </w:style>
  <w:style w:type="character" w:styleId="WW8Num16z0">
    <w:name w:val="WW8Num16z0"/>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6z5">
    <w:name w:val="WW8Num16z5"/>
    <w:qFormat/>
    <w:rPr>
      <w:rFonts w:ascii="Times New Roman" w:hAnsi="Times New Roman" w:cs="Times New Roman"/>
      <w:sz w:val="24"/>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rticleL2">
    <w:name w:val="Article_L2"/>
    <w:basedOn w:val="Normal"/>
    <w:next w:val="Normal"/>
    <w:qFormat/>
    <w:pPr>
      <w:numPr>
        <w:ilvl w:val="0"/>
        <w:numId w:val="2"/>
      </w:numPr>
      <w:spacing w:before="240" w:after="0"/>
      <w:outlineLvl w:val="1"/>
    </w:pPr>
    <w:rPr>
      <w:rFonts w:ascii="CG Times" w:hAnsi="CG Times" w:cs="CG Times"/>
      <w:sz w:val="24"/>
      <w:u w:val="single"/>
    </w:rPr>
  </w:style>
  <w:style w:type="paragraph" w:styleId="ArticleL3">
    <w:name w:val="Article_L3"/>
    <w:basedOn w:val="Normal"/>
    <w:next w:val="Normal"/>
    <w:qFormat/>
    <w:pPr>
      <w:numPr>
        <w:ilvl w:val="0"/>
        <w:numId w:val="2"/>
      </w:numPr>
      <w:spacing w:before="0" w:after="240"/>
      <w:outlineLvl w:val="2"/>
    </w:pPr>
    <w:rPr>
      <w:rFonts w:ascii="CG Times" w:hAnsi="CG Times" w:cs="CG Times"/>
      <w:b/>
      <w:sz w:val="24"/>
    </w:rPr>
  </w:style>
  <w:style w:type="paragraph" w:styleId="ArticleL4">
    <w:name w:val="Article_L4"/>
    <w:basedOn w:val="Normal"/>
    <w:next w:val="Normal"/>
    <w:qFormat/>
    <w:pPr>
      <w:numPr>
        <w:ilvl w:val="0"/>
        <w:numId w:val="2"/>
      </w:numPr>
      <w:spacing w:before="240" w:after="0"/>
      <w:outlineLvl w:val="3"/>
    </w:pPr>
    <w:rPr>
      <w:rFonts w:ascii="CG Times" w:hAnsi="CG Times" w:cs="CG Times"/>
      <w:sz w:val="24"/>
    </w:rPr>
  </w:style>
  <w:style w:type="paragraph" w:styleId="ArticleL5">
    <w:name w:val="Article_L5"/>
    <w:basedOn w:val="Normal"/>
    <w:next w:val="Normal"/>
    <w:qFormat/>
    <w:pPr>
      <w:numPr>
        <w:ilvl w:val="0"/>
        <w:numId w:val="2"/>
      </w:numPr>
      <w:spacing w:before="240" w:after="0"/>
      <w:outlineLvl w:val="4"/>
    </w:pPr>
    <w:rPr>
      <w:rFonts w:ascii="CG Times" w:hAnsi="CG Times" w:cs="CG Times"/>
      <w:sz w:val="24"/>
    </w:rPr>
  </w:style>
  <w:style w:type="paragraph" w:styleId="StandardL1">
    <w:name w:val="Standard_L1"/>
    <w:basedOn w:val="Normal"/>
    <w:next w:val="NumContinue"/>
    <w:qFormat/>
    <w:pPr>
      <w:numPr>
        <w:ilvl w:val="0"/>
        <w:numId w:val="3"/>
      </w:numPr>
      <w:spacing w:before="240" w:after="0"/>
      <w:outlineLvl w:val="0"/>
    </w:pPr>
    <w:rPr>
      <w:sz w:val="24"/>
    </w:rPr>
  </w:style>
  <w:style w:type="paragraph" w:styleId="NumContinue">
    <w:name w:val="Num Continue"/>
    <w:basedOn w:val="BodyText"/>
    <w:qFormat/>
    <w:pPr>
      <w:spacing w:before="240" w:after="240"/>
    </w:pPr>
    <w:rPr/>
  </w:style>
  <w:style w:type="paragraph" w:styleId="StandardL2">
    <w:name w:val="Standard_L2"/>
    <w:basedOn w:val="Normal"/>
    <w:next w:val="NumContinue"/>
    <w:qFormat/>
    <w:pPr>
      <w:numPr>
        <w:ilvl w:val="0"/>
        <w:numId w:val="3"/>
      </w:numPr>
      <w:spacing w:before="240" w:after="0"/>
      <w:outlineLvl w:val="1"/>
    </w:pPr>
    <w:rPr>
      <w:sz w:val="24"/>
    </w:rPr>
  </w:style>
  <w:style w:type="paragraph" w:styleId="StandardL3">
    <w:name w:val="Standard_L3"/>
    <w:basedOn w:val="Normal"/>
    <w:next w:val="NumContinue"/>
    <w:qFormat/>
    <w:pPr>
      <w:numPr>
        <w:ilvl w:val="0"/>
        <w:numId w:val="3"/>
      </w:numPr>
      <w:spacing w:before="240" w:after="0"/>
      <w:outlineLvl w:val="2"/>
    </w:pPr>
    <w:rPr>
      <w:sz w:val="24"/>
    </w:rPr>
  </w:style>
  <w:style w:type="paragraph" w:styleId="StandardL4">
    <w:name w:val="Standard_L4"/>
    <w:basedOn w:val="Normal"/>
    <w:next w:val="NumContinue"/>
    <w:qFormat/>
    <w:pPr>
      <w:numPr>
        <w:ilvl w:val="0"/>
        <w:numId w:val="3"/>
      </w:numPr>
      <w:tabs>
        <w:tab w:val="clear" w:pos="720"/>
        <w:tab w:val="left" w:pos="2880" w:leader="none"/>
      </w:tabs>
      <w:spacing w:before="0" w:after="240"/>
      <w:outlineLvl w:val="3"/>
    </w:pPr>
    <w:rPr>
      <w:b/>
      <w:sz w:val="24"/>
    </w:rPr>
  </w:style>
  <w:style w:type="paragraph" w:styleId="StandardL5">
    <w:name w:val="Standard_L5"/>
    <w:basedOn w:val="Normal"/>
    <w:next w:val="NumContinue"/>
    <w:qFormat/>
    <w:pPr>
      <w:numPr>
        <w:ilvl w:val="0"/>
        <w:numId w:val="3"/>
      </w:numPr>
      <w:tabs>
        <w:tab w:val="clear" w:pos="720"/>
        <w:tab w:val="left" w:pos="3600" w:leader="none"/>
      </w:tabs>
      <w:spacing w:before="0" w:after="240"/>
      <w:outlineLvl w:val="4"/>
    </w:pPr>
    <w:rPr>
      <w:sz w:val="24"/>
    </w:rPr>
  </w:style>
  <w:style w:type="paragraph" w:styleId="StandardL6">
    <w:name w:val="Standard_L6"/>
    <w:basedOn w:val="Normal"/>
    <w:next w:val="NumContinue"/>
    <w:qFormat/>
    <w:pPr>
      <w:numPr>
        <w:ilvl w:val="0"/>
        <w:numId w:val="3"/>
      </w:numPr>
      <w:spacing w:before="0" w:after="240"/>
      <w:outlineLvl w:val="5"/>
    </w:pPr>
    <w:rPr>
      <w:sz w:val="24"/>
    </w:rPr>
  </w:style>
  <w:style w:type="paragraph" w:styleId="StandardL7">
    <w:name w:val="Standard_L7"/>
    <w:basedOn w:val="Normal"/>
    <w:next w:val="NumContinue"/>
    <w:qFormat/>
    <w:pPr>
      <w:numPr>
        <w:ilvl w:val="0"/>
        <w:numId w:val="3"/>
      </w:numPr>
      <w:tabs>
        <w:tab w:val="clear" w:pos="720"/>
        <w:tab w:val="left" w:pos="5040" w:leader="none"/>
      </w:tabs>
      <w:spacing w:before="0" w:after="240"/>
      <w:outlineLvl w:val="6"/>
    </w:pPr>
    <w:rPr>
      <w:sz w:val="24"/>
    </w:rPr>
  </w:style>
  <w:style w:type="paragraph" w:styleId="StandardL8">
    <w:name w:val="Standard_L8"/>
    <w:basedOn w:val="Normal"/>
    <w:next w:val="NumContinue"/>
    <w:qFormat/>
    <w:pPr>
      <w:numPr>
        <w:ilvl w:val="0"/>
        <w:numId w:val="3"/>
      </w:numPr>
      <w:tabs>
        <w:tab w:val="clear" w:pos="720"/>
        <w:tab w:val="left" w:pos="5760" w:leader="none"/>
      </w:tabs>
      <w:spacing w:before="0" w:after="240"/>
      <w:outlineLvl w:val="7"/>
    </w:pPr>
    <w:rPr>
      <w:sz w:val="24"/>
    </w:rPr>
  </w:style>
  <w:style w:type="paragraph" w:styleId="StandardL9">
    <w:name w:val="Standard_L9"/>
    <w:basedOn w:val="Normal"/>
    <w:next w:val="NumContinue"/>
    <w:qFormat/>
    <w:pPr>
      <w:numPr>
        <w:ilvl w:val="0"/>
        <w:numId w:val="3"/>
      </w:numPr>
      <w:spacing w:before="0" w:after="240"/>
      <w:outlineLvl w:val="8"/>
    </w:pPr>
    <w:rPr>
      <w:sz w:val="24"/>
    </w:rPr>
  </w:style>
  <w:style w:type="paragraph" w:styleId="BlockText">
    <w:name w:val="Block Text"/>
    <w:basedOn w:val="Normal"/>
    <w:qFormat/>
    <w:pPr>
      <w:numPr>
        <w:ilvl w:val="0"/>
        <w:numId w:val="5"/>
      </w:numPr>
      <w:spacing w:before="0" w:after="120"/>
      <w:ind w:hanging="0" w:start="0" w:end="1440"/>
    </w:pPr>
    <w:rPr>
      <w:sz w:val="24"/>
      <w:lang w:eastAsia="en-US"/>
    </w:rPr>
  </w:style>
  <w:style w:type="paragraph" w:styleId="TaxL1">
    <w:name w:val="Tax_L1"/>
    <w:basedOn w:val="Normal"/>
    <w:next w:val="Normal"/>
    <w:qFormat/>
    <w:pPr>
      <w:keepNext w:val="true"/>
      <w:numPr>
        <w:ilvl w:val="0"/>
        <w:numId w:val="6"/>
      </w:numPr>
      <w:spacing w:before="240" w:after="0"/>
      <w:outlineLvl w:val="0"/>
    </w:pPr>
    <w:rPr>
      <w:sz w:val="24"/>
      <w:u w:val="single"/>
    </w:rPr>
  </w:style>
  <w:style w:type="paragraph" w:styleId="TaxL2">
    <w:name w:val="Tax_L2"/>
    <w:basedOn w:val="Normal"/>
    <w:next w:val="Normal"/>
    <w:qFormat/>
    <w:pPr>
      <w:numPr>
        <w:ilvl w:val="0"/>
        <w:numId w:val="6"/>
      </w:numPr>
      <w:tabs>
        <w:tab w:val="clear" w:pos="720"/>
        <w:tab w:val="left" w:pos="2160" w:leader="none"/>
      </w:tabs>
      <w:spacing w:before="240" w:after="0"/>
      <w:outlineLvl w:val="1"/>
    </w:pPr>
    <w:rPr>
      <w:sz w:val="24"/>
      <w:u w:val="single"/>
    </w:rPr>
  </w:style>
  <w:style w:type="paragraph" w:styleId="TaxL3">
    <w:name w:val="Tax_L3"/>
    <w:basedOn w:val="Normal"/>
    <w:next w:val="Normal"/>
    <w:qFormat/>
    <w:pPr>
      <w:numPr>
        <w:ilvl w:val="0"/>
        <w:numId w:val="6"/>
      </w:numPr>
      <w:tabs>
        <w:tab w:val="clear" w:pos="720"/>
        <w:tab w:val="left" w:pos="2880" w:leader="none"/>
      </w:tabs>
      <w:spacing w:before="240" w:after="0"/>
      <w:outlineLvl w:val="2"/>
    </w:pPr>
    <w:rPr>
      <w:sz w:val="24"/>
    </w:rPr>
  </w:style>
  <w:style w:type="paragraph" w:styleId="TaxL4">
    <w:name w:val="Tax_L4"/>
    <w:basedOn w:val="Normal"/>
    <w:next w:val="Normal"/>
    <w:qFormat/>
    <w:pPr>
      <w:numPr>
        <w:ilvl w:val="0"/>
        <w:numId w:val="6"/>
      </w:numPr>
      <w:tabs>
        <w:tab w:val="clear" w:pos="720"/>
        <w:tab w:val="left" w:pos="2880" w:leader="none"/>
      </w:tabs>
      <w:spacing w:before="240" w:after="0"/>
      <w:outlineLvl w:val="3"/>
    </w:pPr>
    <w:rPr>
      <w:sz w:val="24"/>
    </w:rPr>
  </w:style>
  <w:style w:type="paragraph" w:styleId="TaxL5">
    <w:name w:val="Tax_L5"/>
    <w:basedOn w:val="Normal"/>
    <w:next w:val="Normal"/>
    <w:qFormat/>
    <w:pPr>
      <w:numPr>
        <w:ilvl w:val="0"/>
        <w:numId w:val="6"/>
      </w:numPr>
      <w:spacing w:before="0" w:after="240"/>
      <w:outlineLvl w:val="4"/>
    </w:pPr>
    <w:rPr>
      <w:sz w:val="24"/>
    </w:rPr>
  </w:style>
  <w:style w:type="paragraph" w:styleId="TaxL6">
    <w:name w:val="Tax_L6"/>
    <w:basedOn w:val="Normal"/>
    <w:qFormat/>
    <w:pPr>
      <w:numPr>
        <w:ilvl w:val="0"/>
        <w:numId w:val="6"/>
      </w:numPr>
      <w:spacing w:before="0" w:after="240"/>
    </w:pPr>
    <w:rPr>
      <w:sz w:val="24"/>
    </w:rPr>
  </w:style>
  <w:style w:type="paragraph" w:styleId="TaxL7">
    <w:name w:val="Tax_L7"/>
    <w:basedOn w:val="Normal"/>
    <w:qFormat/>
    <w:pPr>
      <w:numPr>
        <w:ilvl w:val="0"/>
        <w:numId w:val="6"/>
      </w:numPr>
      <w:spacing w:before="0" w:after="240"/>
    </w:pPr>
    <w:rPr>
      <w:sz w:val="24"/>
    </w:rPr>
  </w:style>
  <w:style w:type="paragraph" w:styleId="TaxL8">
    <w:name w:val="Tax_L8"/>
    <w:basedOn w:val="Normal"/>
    <w:qFormat/>
    <w:pPr>
      <w:numPr>
        <w:ilvl w:val="0"/>
        <w:numId w:val="6"/>
      </w:numPr>
      <w:spacing w:before="0" w:after="240"/>
    </w:pPr>
    <w:rPr>
      <w:sz w:val="24"/>
    </w:rPr>
  </w:style>
  <w:style w:type="paragraph" w:styleId="TaxL9">
    <w:name w:val="Tax_L9"/>
    <w:basedOn w:val="Normal"/>
    <w:qFormat/>
    <w:pPr>
      <w:numPr>
        <w:ilvl w:val="0"/>
        <w:numId w:val="6"/>
      </w:numPr>
      <w:spacing w:before="0" w:after="240"/>
    </w:pPr>
    <w:rPr>
      <w:sz w:val="24"/>
    </w:rPr>
  </w:style>
  <w:style w:type="paragraph" w:styleId="Centered">
    <w:name w:val="Centered"/>
    <w:basedOn w:val="Normal"/>
    <w:next w:val="BodyText"/>
    <w:qFormat/>
    <w:pPr>
      <w:spacing w:lineRule="exact" w:line="240" w:before="0" w:after="240"/>
      <w:jc w:val="center"/>
    </w:pPr>
    <w:rPr>
      <w:sz w:val="24"/>
    </w:rPr>
  </w:style>
  <w:style w:type="paragraph" w:styleId="CenteredBold">
    <w:name w:val="Centered Bold"/>
    <w:basedOn w:val="Centered"/>
    <w:qFormat/>
    <w:pPr/>
    <w:rPr>
      <w:b/>
    </w:rPr>
  </w:style>
  <w:style w:type="paragraph" w:styleId="FlushLeft">
    <w:name w:val="Flush Left"/>
    <w:basedOn w:val="Normal"/>
    <w:qFormat/>
    <w:pPr>
      <w:spacing w:before="240" w:after="0"/>
    </w:pPr>
    <w:rPr>
      <w:sz w:val="24"/>
    </w:rPr>
  </w:style>
  <w:style w:type="paragraph" w:styleId="Signature">
    <w:name w:val="Signature"/>
    <w:basedOn w:val="Normal"/>
    <w:pPr>
      <w:ind w:hanging="0" w:start="4320" w:end="0"/>
    </w:pPr>
    <w:rPr>
      <w:sz w:val="24"/>
    </w:rPr>
  </w:style>
  <w:style w:type="paragraph" w:styleId="FlushRight">
    <w:name w:val="Flush Right"/>
    <w:basedOn w:val="Normal"/>
    <w:qFormat/>
    <w:pPr>
      <w:jc w:val="end"/>
    </w:pPr>
    <w:rPr>
      <w:b/>
      <w:sz w:val="24"/>
    </w:rPr>
  </w:style>
  <w:style w:type="paragraph" w:styleId="Address">
    <w:name w:val="Address"/>
    <w:basedOn w:val="Normal"/>
    <w:qFormat/>
    <w:pPr>
      <w:suppressAutoHyphens w:val="true"/>
      <w:spacing w:before="240" w:after="0"/>
    </w:pPr>
    <w:rPr>
      <w:sz w:val="24"/>
    </w:rPr>
  </w:style>
  <w:style w:type="paragraph" w:styleId="Re">
    <w:name w:val="Re"/>
    <w:basedOn w:val="FlushLeft"/>
    <w:qFormat/>
    <w:pPr>
      <w:ind w:hanging="720" w:start="2160" w:end="0"/>
    </w:pPr>
    <w:rPr/>
  </w:style>
  <w:style w:type="paragraph" w:styleId="Salutation">
    <w:name w:val="Salutation"/>
    <w:basedOn w:val="Normal"/>
    <w:next w:val="Normal"/>
    <w:qFormat/>
    <w:pPr>
      <w:spacing w:before="240" w:after="0"/>
    </w:pPr>
    <w:rPr>
      <w:sz w:val="24"/>
    </w:rPr>
  </w:style>
  <w:style w:type="paragraph" w:styleId="FlushLeftItalic">
    <w:name w:val="Flush Left Italic"/>
    <w:basedOn w:val="Normal"/>
    <w:qFormat/>
    <w:pPr>
      <w:spacing w:before="240" w:after="0"/>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spacing w:lineRule="atLeast" w:line="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2000-08-17T15:50:00Z</dcterms:created>
  <dc:creator>Tim Finnegan</dc:creator>
  <dc:description/>
  <dc:language>en-CA</dc:language>
  <cp:lastModifiedBy>CCheng</cp:lastModifiedBy>
  <cp:lastPrinted>2000-08-15T16:42:00Z</cp:lastPrinted>
  <dcterms:modified xsi:type="dcterms:W3CDTF">2000-08-29T19:07:00Z</dcterms:modified>
  <cp:revision>4</cp:revision>
  <dc:subject/>
  <dc:title>Core Market Pool Performance Bond</dc:title>
</cp:coreProperties>
</file>