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Heading"/>
        <w:rPr>
          <w:sz w:val="20"/>
        </w:rPr>
      </w:pPr>
      <w:r>
        <w:rPr>
          <w:sz w:val="20"/>
        </w:rPr>
      </w:r>
    </w:p>
    <w:p>
      <w:pPr>
        <w:pStyle w:val="Heading"/>
        <w:rPr>
          <w:sz w:val="20"/>
        </w:rPr>
      </w:pPr>
      <w:r>
        <w:rPr>
          <w:sz w:val="20"/>
        </w:rPr>
      </w:r>
    </w:p>
    <w:p>
      <w:pPr>
        <w:pStyle w:val="Header"/>
        <w:tabs>
          <w:tab w:val="clear" w:pos="4320"/>
          <w:tab w:val="clear" w:pos="8640"/>
          <w:tab w:val="left" w:pos="142" w:leader="none"/>
          <w:tab w:val="left" w:pos="993" w:leader="none"/>
        </w:tabs>
        <w:spacing w:before="60" w:after="60"/>
        <w:jc w:val="both"/>
        <w:rPr/>
      </w:pPr>
      <w:r>
        <w:rPr>
          <w:b/>
          <w:sz w:val="20"/>
        </w:rPr>
        <w:t>To:</w:t>
      </w:r>
      <w:r>
        <w:rPr>
          <w:sz w:val="20"/>
        </w:rPr>
        <w:tab/>
        <w:t>Ken Lay</w:t>
        <w:tab/>
        <w:t xml:space="preserve"> </w:t>
        <w:tab/>
      </w:r>
    </w:p>
    <w:p>
      <w:pPr>
        <w:pStyle w:val="Header"/>
        <w:tabs>
          <w:tab w:val="clear" w:pos="4320"/>
          <w:tab w:val="clear" w:pos="8640"/>
          <w:tab w:val="left" w:pos="142" w:leader="none"/>
          <w:tab w:val="left" w:pos="993" w:leader="none"/>
        </w:tabs>
        <w:spacing w:before="60" w:after="60"/>
        <w:jc w:val="both"/>
        <w:rPr>
          <w:sz w:val="20"/>
        </w:rPr>
      </w:pPr>
      <w:r>
        <w:rPr>
          <w:sz w:val="20"/>
        </w:rPr>
        <w:tab/>
        <w:tab/>
        <w:t>Rick Buy</w:t>
        <w:tab/>
        <w:tab/>
      </w:r>
    </w:p>
    <w:p>
      <w:pPr>
        <w:pStyle w:val="Normal"/>
        <w:tabs>
          <w:tab w:val="left" w:pos="142" w:leader="none"/>
          <w:tab w:val="left" w:pos="540" w:leader="none"/>
          <w:tab w:val="left" w:pos="993" w:leader="none"/>
        </w:tabs>
        <w:spacing w:before="60" w:after="60"/>
        <w:jc w:val="both"/>
        <w:rPr/>
      </w:pPr>
      <w:r>
        <w:rPr>
          <w:b/>
          <w:sz w:val="20"/>
        </w:rPr>
        <w:t>From:</w:t>
      </w:r>
      <w:r>
        <w:rPr>
          <w:sz w:val="20"/>
        </w:rPr>
        <w:tab/>
        <w:t>Frank Karbarz</w:t>
        <w:tab/>
        <w:t>___________________</w:t>
      </w:r>
    </w:p>
    <w:p>
      <w:pPr>
        <w:pStyle w:val="Normal"/>
        <w:tabs>
          <w:tab w:val="left" w:pos="142" w:leader="none"/>
          <w:tab w:val="left" w:pos="540" w:leader="none"/>
          <w:tab w:val="left" w:pos="993" w:leader="none"/>
        </w:tabs>
        <w:spacing w:before="60" w:after="60"/>
        <w:jc w:val="both"/>
        <w:rPr>
          <w:b/>
          <w:sz w:val="20"/>
        </w:rPr>
      </w:pPr>
      <w:r>
        <w:rPr>
          <w:b/>
          <w:sz w:val="20"/>
        </w:rPr>
        <w:t>Date:</w:t>
      </w:r>
      <w:r>
        <w:rPr>
          <w:sz w:val="20"/>
        </w:rPr>
        <w:tab/>
        <w:tab/>
        <w:tab/>
        <w:t>July 31, 2001</w:t>
      </w:r>
    </w:p>
    <w:p>
      <w:pPr>
        <w:pStyle w:val="Normal"/>
        <w:tabs>
          <w:tab w:val="left" w:pos="142" w:leader="none"/>
          <w:tab w:val="left" w:pos="540" w:leader="none"/>
          <w:tab w:val="left" w:pos="993" w:leader="none"/>
        </w:tabs>
        <w:spacing w:before="60" w:after="60"/>
        <w:jc w:val="both"/>
        <w:rPr/>
      </w:pPr>
      <w:r>
        <w:rPr>
          <w:b/>
          <w:sz w:val="20"/>
        </w:rPr>
        <w:t>Subject:</w:t>
      </w:r>
      <w:r>
        <w:rPr>
          <w:sz w:val="20"/>
        </w:rPr>
        <w:tab/>
        <w:t xml:space="preserve">Request for CPU Capacity Interim Trading Policy Limits </w:t>
      </w:r>
    </w:p>
    <w:p>
      <w:pPr>
        <w:pStyle w:val="Normal"/>
        <w:tabs>
          <w:tab w:val="left" w:pos="142" w:leader="none"/>
          <w:tab w:val="left" w:pos="540" w:leader="none"/>
          <w:tab w:val="left" w:pos="993" w:leader="none"/>
        </w:tabs>
        <w:spacing w:before="60" w:after="60"/>
        <w:jc w:val="both"/>
        <w:rPr>
          <w:rFonts w:ascii="Times New Roman" w:hAnsi="Times New Roman" w:cs="Times New Roman"/>
          <w:sz w:val="22"/>
        </w:rPr>
      </w:pPr>
      <w:r>
        <w:rPr>
          <w:sz w:val="20"/>
        </w:rPr>
        <w:tab/>
        <w:tab/>
        <w:tab/>
      </w:r>
    </w:p>
    <w:p>
      <w:pPr>
        <w:pStyle w:val="Heading1"/>
        <w:pBdr>
          <w:top w:val="single" w:sz="18" w:space="1" w:color="000000"/>
        </w:pBdr>
        <w:ind w:hanging="0" w:start="0"/>
        <w:jc w:val="both"/>
        <w:rPr>
          <w:rFonts w:ascii="Times New Roman" w:hAnsi="Times New Roman" w:cs="Times New Roman"/>
          <w:b w:val="false"/>
          <w:sz w:val="22"/>
        </w:rPr>
      </w:pPr>
      <w:r>
        <w:rPr>
          <w:rFonts w:cs="Times New Roman"/>
          <w:b w:val="false"/>
          <w:sz w:val="22"/>
        </w:rPr>
      </w:r>
    </w:p>
    <w:p>
      <w:pPr>
        <w:pStyle w:val="Normal"/>
        <w:ind w:hanging="2160" w:start="2160" w:end="0"/>
        <w:jc w:val="both"/>
        <w:rPr>
          <w:rFonts w:ascii="Times New Roman" w:hAnsi="Times New Roman" w:cs="Times New Roman"/>
          <w:b/>
          <w:sz w:val="22"/>
          <w:u w:val="single"/>
        </w:rPr>
      </w:pPr>
      <w:r>
        <w:rPr>
          <w:rFonts w:cs="Times New Roman" w:ascii="Times New Roman" w:hAnsi="Times New Roman"/>
          <w:b/>
          <w:sz w:val="22"/>
          <w:u w:val="single"/>
        </w:rPr>
        <w:t>Type of Trading Limit Request</w:t>
      </w:r>
    </w:p>
    <w:p>
      <w:pPr>
        <w:pStyle w:val="Normal"/>
        <w:numPr>
          <w:ilvl w:val="0"/>
          <w:numId w:val="5"/>
        </w:numPr>
        <w:jc w:val="both"/>
        <w:rPr>
          <w:sz w:val="20"/>
          <w:u w:val="single"/>
        </w:rPr>
      </w:pPr>
      <w:r>
        <w:rPr>
          <w:sz w:val="20"/>
        </w:rPr>
        <w:t>Interim Policy Limits for New Commodity</w:t>
        <w:tab/>
        <w:tab/>
      </w:r>
    </w:p>
    <w:p>
      <w:pPr>
        <w:pStyle w:val="Normal"/>
        <w:ind w:hanging="2160" w:start="2160" w:end="0"/>
        <w:jc w:val="both"/>
        <w:rPr>
          <w:b/>
          <w:sz w:val="20"/>
          <w:u w:val="single"/>
        </w:rPr>
      </w:pPr>
      <w:r>
        <w:rPr>
          <w:b/>
          <w:sz w:val="20"/>
          <w:u w:val="single"/>
        </w:rPr>
      </w:r>
    </w:p>
    <w:p>
      <w:pPr>
        <w:pStyle w:val="Normal"/>
        <w:ind w:hanging="2160" w:start="2160" w:end="0"/>
        <w:jc w:val="both"/>
        <w:rPr>
          <w:b/>
          <w:sz w:val="20"/>
          <w:u w:val="single"/>
        </w:rPr>
      </w:pPr>
      <w:r>
        <w:rPr>
          <w:b/>
          <w:sz w:val="20"/>
          <w:u w:val="single"/>
        </w:rPr>
        <w:t>Authorized Products:</w:t>
      </w:r>
    </w:p>
    <w:p>
      <w:pPr>
        <w:pStyle w:val="Normal"/>
        <w:ind w:hanging="2160" w:start="2160" w:end="0"/>
        <w:jc w:val="both"/>
        <w:rPr>
          <w:b/>
          <w:sz w:val="20"/>
          <w:u w:val="single"/>
        </w:rPr>
      </w:pPr>
      <w:r>
        <w:rPr>
          <w:b/>
          <w:sz w:val="20"/>
          <w:u w:val="single"/>
        </w:rPr>
      </w:r>
    </w:p>
    <w:p>
      <w:pPr>
        <w:pStyle w:val="Normal"/>
        <w:numPr>
          <w:ilvl w:val="0"/>
          <w:numId w:val="5"/>
        </w:numPr>
        <w:jc w:val="both"/>
        <w:rPr>
          <w:sz w:val="20"/>
        </w:rPr>
      </w:pPr>
      <w:r>
        <w:rPr>
          <w:sz w:val="20"/>
        </w:rPr>
        <w:t xml:space="preserve">Forward physical transactions </w:t>
      </w:r>
    </w:p>
    <w:p>
      <w:pPr>
        <w:pStyle w:val="Normal"/>
        <w:numPr>
          <w:ilvl w:val="0"/>
          <w:numId w:val="5"/>
        </w:numPr>
        <w:tabs>
          <w:tab w:val="left" w:pos="540" w:leader="none"/>
          <w:tab w:val="left" w:pos="720" w:leader="none"/>
        </w:tabs>
        <w:ind w:hanging="360" w:start="720" w:end="0"/>
        <w:jc w:val="both"/>
        <w:rPr>
          <w:sz w:val="20"/>
        </w:rPr>
      </w:pPr>
      <w:r>
        <w:rPr>
          <w:sz w:val="20"/>
        </w:rPr>
        <w:t xml:space="preserve">Compute Power Capacity: Type/quality differentiated by operating system, usage type, and precision.  Two initial qualities: </w:t>
      </w:r>
    </w:p>
    <w:p>
      <w:pPr>
        <w:pStyle w:val="Normal"/>
        <w:numPr>
          <w:ilvl w:val="0"/>
          <w:numId w:val="5"/>
        </w:numPr>
        <w:tabs>
          <w:tab w:val="left" w:pos="540" w:leader="none"/>
          <w:tab w:val="left" w:pos="900" w:leader="none"/>
        </w:tabs>
        <w:ind w:hanging="360" w:start="900" w:end="0"/>
        <w:jc w:val="both"/>
        <w:rPr>
          <w:sz w:val="20"/>
        </w:rPr>
      </w:pPr>
      <w:r>
        <w:rPr>
          <w:sz w:val="20"/>
        </w:rPr>
        <w:t xml:space="preserve">Dedicated = uninterrupted usage, Dedicated transactions in single processor increments increments in hourly, daily, weekly, monthly periods.  </w:t>
      </w:r>
    </w:p>
    <w:p>
      <w:pPr>
        <w:pStyle w:val="Normal"/>
        <w:numPr>
          <w:ilvl w:val="0"/>
          <w:numId w:val="5"/>
        </w:numPr>
        <w:tabs>
          <w:tab w:val="left" w:pos="540" w:leader="none"/>
          <w:tab w:val="left" w:pos="900" w:leader="none"/>
        </w:tabs>
        <w:ind w:hanging="360" w:start="900" w:end="0"/>
        <w:jc w:val="both"/>
        <w:rPr>
          <w:sz w:val="20"/>
        </w:rPr>
      </w:pPr>
      <w:r>
        <w:rPr>
          <w:sz w:val="20"/>
        </w:rPr>
        <w:t>Shared = multi-user environment.  Shared transactions in calculations-per-second QOS in hourly, daily, weekly, monthly periods.</w:t>
      </w:r>
    </w:p>
    <w:p>
      <w:pPr>
        <w:pStyle w:val="Normal"/>
        <w:ind w:start="360" w:end="0"/>
        <w:jc w:val="both"/>
        <w:rPr>
          <w:sz w:val="20"/>
        </w:rPr>
      </w:pPr>
      <w:r>
        <w:rPr>
          <w:sz w:val="20"/>
        </w:rPr>
      </w:r>
    </w:p>
    <w:p>
      <w:pPr>
        <w:pStyle w:val="Normal"/>
        <w:numPr>
          <w:ilvl w:val="0"/>
          <w:numId w:val="5"/>
        </w:numPr>
        <w:jc w:val="both"/>
        <w:rPr>
          <w:sz w:val="20"/>
        </w:rPr>
      </w:pPr>
      <w:r>
        <w:rPr>
          <w:sz w:val="20"/>
        </w:rPr>
        <w:t>Options on forwards against available capacity.</w:t>
      </w:r>
    </w:p>
    <w:p>
      <w:pPr>
        <w:pStyle w:val="Normal"/>
        <w:jc w:val="both"/>
        <w:rPr>
          <w:sz w:val="20"/>
        </w:rPr>
      </w:pPr>
      <w:r>
        <w:rPr>
          <w:sz w:val="20"/>
        </w:rPr>
      </w:r>
    </w:p>
    <w:p>
      <w:pPr>
        <w:pStyle w:val="Heading7"/>
        <w:ind w:hanging="0" w:start="0"/>
        <w:rPr>
          <w:rFonts w:ascii="Arial" w:hAnsi="Arial" w:cs="Arial"/>
          <w:sz w:val="20"/>
        </w:rPr>
      </w:pPr>
      <w:r>
        <w:rPr>
          <w:rFonts w:cs="Arial" w:ascii="Arial" w:hAnsi="Arial"/>
          <w:sz w:val="20"/>
        </w:rPr>
        <w:t>Markets approved for trading</w:t>
      </w:r>
    </w:p>
    <w:p>
      <w:pPr>
        <w:pStyle w:val="Normal"/>
        <w:jc w:val="both"/>
        <w:rPr>
          <w:rFonts w:ascii="Arial" w:hAnsi="Arial" w:cs="Arial"/>
          <w:sz w:val="20"/>
        </w:rPr>
      </w:pPr>
      <w:r>
        <w:rPr>
          <w:rFonts w:cs="Arial"/>
          <w:sz w:val="20"/>
        </w:rPr>
      </w:r>
    </w:p>
    <w:p>
      <w:pPr>
        <w:pStyle w:val="Normal"/>
        <w:numPr>
          <w:ilvl w:val="0"/>
          <w:numId w:val="6"/>
        </w:numPr>
        <w:jc w:val="both"/>
        <w:rPr>
          <w:sz w:val="20"/>
        </w:rPr>
      </w:pPr>
      <w:r>
        <w:rPr>
          <w:sz w:val="20"/>
        </w:rPr>
        <w:t>Anticipate utilization of available compute power on a global basis, where sufficient bandwidth capacity enables accessibility.</w:t>
      </w:r>
    </w:p>
    <w:p>
      <w:pPr>
        <w:pStyle w:val="Normal"/>
        <w:jc w:val="both"/>
        <w:rPr>
          <w:sz w:val="20"/>
        </w:rPr>
      </w:pPr>
      <w:r>
        <w:rPr>
          <w:sz w:val="20"/>
        </w:rPr>
      </w:r>
    </w:p>
    <w:p>
      <w:pPr>
        <w:pStyle w:val="Normal"/>
        <w:ind w:hanging="2160" w:start="2160" w:end="0"/>
        <w:jc w:val="both"/>
        <w:rPr>
          <w:b/>
          <w:sz w:val="20"/>
          <w:u w:val="single"/>
        </w:rPr>
      </w:pPr>
      <w:r>
        <w:rPr>
          <w:b/>
          <w:sz w:val="20"/>
          <w:u w:val="single"/>
        </w:rPr>
        <w:t>Market Background:</w:t>
      </w:r>
    </w:p>
    <w:p>
      <w:pPr>
        <w:pStyle w:val="Normal"/>
        <w:jc w:val="both"/>
        <w:rPr>
          <w:b/>
          <w:sz w:val="20"/>
          <w:u w:val="single"/>
        </w:rPr>
      </w:pPr>
      <w:r>
        <w:rPr>
          <w:b/>
          <w:sz w:val="20"/>
          <w:u w:val="single"/>
        </w:rPr>
      </w:r>
    </w:p>
    <w:p>
      <w:pPr>
        <w:pStyle w:val="NormalWeb"/>
        <w:numPr>
          <w:ilvl w:val="0"/>
          <w:numId w:val="11"/>
        </w:numPr>
        <w:rPr>
          <w:rFonts w:ascii="Arial" w:hAnsi="Arial" w:cs="Arial"/>
        </w:rPr>
      </w:pPr>
      <w:r>
        <w:rPr>
          <w:rFonts w:cs="Arial" w:ascii="Arial" w:hAnsi="Arial"/>
        </w:rPr>
        <w:t xml:space="preserve">Utility, or Grid, computing is an emerging $100B market that is expected by IBM, Sun, and others to supplant the current distributed enterprise server market.   Total server revenues for 1999 were $51B (Paine Webber) and projected to grow to $68B by 2002.   Immediate opportunities are available in areas where server leasing has been in place for some time (data recovery centers and supercomputing sites).   Longer term, the addressable market will be driven by the trend towards distributed on-demand computing. In November 2000, Red Herring identified Distributed Computing as its #1 trend in 2001. </w:t>
      </w:r>
    </w:p>
    <w:p>
      <w:pPr>
        <w:pStyle w:val="NormalWeb"/>
        <w:numPr>
          <w:ilvl w:val="0"/>
          <w:numId w:val="11"/>
        </w:numPr>
        <w:rPr>
          <w:rFonts w:ascii="Arial" w:hAnsi="Arial" w:cs="Arial"/>
          <w:color w:val="000000"/>
        </w:rPr>
      </w:pPr>
      <w:r>
        <w:rPr>
          <w:rFonts w:cs="Arial" w:ascii="Arial" w:hAnsi="Arial"/>
        </w:rPr>
        <w:t xml:space="preserve">CPU capacity has a synergistic fit with EBS bandwidth capacity and data storage trading platforms.  Distributed computing resources require bandwidth to facilitate access to the capacity. Highly computational processing often utilizes multiple TB of data storage.  </w:t>
      </w:r>
      <w:r>
        <w:rPr>
          <w:rFonts w:cs="Arial" w:ascii="Arial" w:hAnsi="Arial"/>
          <w:color w:val="000000"/>
        </w:rPr>
        <w:t>As compute resources are connected to the bandwidth network, a compute power grid will develop, increasing demand on for IP capacity. The capital-intensive nature of massive server farms fundamentally becomes more accessible and scalable through a network such as EBS’.</w:t>
      </w:r>
      <w:r>
        <w:rPr>
          <w:rFonts w:cs="Arial" w:ascii="Arial" w:hAnsi="Arial"/>
        </w:rPr>
        <w:t xml:space="preserve">  </w:t>
      </w:r>
    </w:p>
    <w:p>
      <w:pPr>
        <w:pStyle w:val="NormalWeb"/>
        <w:numPr>
          <w:ilvl w:val="0"/>
          <w:numId w:val="4"/>
        </w:numPr>
        <w:rPr>
          <w:rFonts w:ascii="Arial" w:hAnsi="Arial" w:cs="Arial"/>
          <w:color w:val="000000"/>
        </w:rPr>
      </w:pPr>
      <w:r>
        <w:rPr>
          <w:rFonts w:cs="Arial" w:ascii="Arial" w:hAnsi="Arial"/>
          <w:color w:val="000000"/>
        </w:rPr>
        <w:t>Addressable markets have computation-intensive applications.  These markets include energy, pharmaceutical</w:t>
      </w:r>
      <w:r>
        <w:rPr>
          <w:color w:val="000000"/>
        </w:rPr>
        <w:t>s</w:t>
      </w:r>
      <w:r>
        <w:rPr>
          <w:rFonts w:cs="Arial" w:ascii="Arial" w:hAnsi="Arial"/>
          <w:color w:val="000000"/>
        </w:rPr>
        <w:t>, genom</w:t>
      </w:r>
      <w:r>
        <w:rPr>
          <w:color w:val="000000"/>
        </w:rPr>
        <w:t>ic</w:t>
      </w:r>
      <w:r>
        <w:rPr>
          <w:rFonts w:cs="Arial" w:ascii="Arial" w:hAnsi="Arial"/>
          <w:color w:val="000000"/>
        </w:rPr>
        <w:t xml:space="preserve"> analysis, bioinformatics, aerospace, insurance, risk management, manufacturing, financial services, academia, </w:t>
      </w:r>
      <w:r>
        <w:rPr>
          <w:color w:val="000000"/>
        </w:rPr>
        <w:t>data processing</w:t>
      </w:r>
      <w:r>
        <w:rPr>
          <w:rFonts w:cs="Arial" w:ascii="Arial" w:hAnsi="Arial"/>
          <w:color w:val="000000"/>
        </w:rPr>
        <w:t xml:space="preserve">. </w:t>
      </w:r>
      <w:r>
        <w:rPr>
          <w:color w:val="000000"/>
        </w:rPr>
        <w:t xml:space="preserve"> </w:t>
      </w:r>
      <w:r>
        <w:rPr>
          <w:rFonts w:cs="Arial" w:ascii="Arial" w:hAnsi="Arial"/>
        </w:rPr>
        <w:t xml:space="preserve">A classic example is in the seismic data processing industry, where data is generated at a rate exceeding terabytes per week and processing of the data can subsequently take </w:t>
      </w:r>
      <w:r>
        <w:rPr/>
        <w:t>over</w:t>
      </w:r>
      <w:r>
        <w:rPr>
          <w:rFonts w:cs="Arial" w:ascii="Arial" w:hAnsi="Arial"/>
        </w:rPr>
        <w:t xml:space="preserve"> nine months.</w:t>
      </w:r>
      <w:r>
        <w:rPr/>
        <w:t xml:space="preserve"> </w:t>
      </w:r>
      <w:r>
        <w:rPr>
          <w:rFonts w:cs="Arial" w:ascii="Arial" w:hAnsi="Arial"/>
        </w:rPr>
        <w:t>In technical computing, computer simulations have become a routine necessity in the development of new products. The basic idea is to use as many cycles as possible now, like electricity, and leave the rest available for others later.</w:t>
      </w:r>
      <w:r>
        <w:rPr>
          <w:rFonts w:cs="Arial" w:ascii="Arial" w:hAnsi="Arial"/>
          <w:color w:val="000000"/>
        </w:rPr>
        <w:t xml:space="preserve"> Long-term value can be captured in accelerating the rate with which data can be analyzed. </w:t>
      </w:r>
    </w:p>
    <w:p>
      <w:pPr>
        <w:pStyle w:val="Normal"/>
        <w:tabs>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s>
        <w:autoSpaceDE w:val="false"/>
        <w:spacing w:lineRule="atLeast" w:line="240"/>
        <w:rPr>
          <w:rFonts w:ascii="Arial" w:hAnsi="Arial" w:cs="Arial"/>
          <w:color w:val="000000"/>
          <w:sz w:val="20"/>
        </w:rPr>
      </w:pPr>
      <w:r>
        <w:rPr>
          <w:rFonts w:cs="Arial"/>
          <w:color w:val="000000"/>
          <w:sz w:val="20"/>
        </w:rPr>
      </w:r>
    </w:p>
    <w:p>
      <w:pPr>
        <w:pStyle w:val="Normal"/>
        <w:tabs>
          <w:tab w:val="clear" w:pos="540"/>
          <w:tab w:val="left" w:pos="0" w:leader="none"/>
          <w:tab w:val="left" w:pos="4320" w:leader="none"/>
        </w:tabs>
        <w:ind w:hanging="3240" w:start="3240" w:end="0"/>
        <w:jc w:val="both"/>
        <w:rPr>
          <w:b/>
          <w:sz w:val="20"/>
          <w:u w:val="single"/>
        </w:rPr>
      </w:pPr>
      <w:r>
        <w:rPr>
          <w:b/>
          <w:sz w:val="20"/>
          <w:u w:val="single"/>
        </w:rPr>
      </w:r>
    </w:p>
    <w:p>
      <w:pPr>
        <w:pStyle w:val="Normal"/>
        <w:tabs>
          <w:tab w:val="left" w:pos="540" w:leader="none"/>
          <w:tab w:val="left" w:pos="4320" w:leader="none"/>
        </w:tabs>
        <w:ind w:hanging="2160" w:start="2160" w:end="0"/>
        <w:jc w:val="both"/>
        <w:rPr>
          <w:sz w:val="20"/>
        </w:rPr>
      </w:pPr>
      <w:r>
        <w:rPr>
          <w:b/>
          <w:sz w:val="20"/>
          <w:u w:val="single"/>
        </w:rPr>
        <w:t>Strategy:</w:t>
      </w:r>
    </w:p>
    <w:p>
      <w:pPr>
        <w:pStyle w:val="Normal"/>
        <w:tabs>
          <w:tab w:val="left" w:pos="540" w:leader="none"/>
          <w:tab w:val="left" w:pos="4320" w:leader="none"/>
        </w:tabs>
        <w:ind w:hanging="2160" w:start="2160" w:end="0"/>
        <w:jc w:val="both"/>
        <w:rPr>
          <w:sz w:val="20"/>
        </w:rPr>
      </w:pPr>
      <w:r>
        <w:rPr>
          <w:sz w:val="20"/>
        </w:rPr>
      </w:r>
    </w:p>
    <w:p>
      <w:pPr>
        <w:pStyle w:val="Normal"/>
        <w:numPr>
          <w:ilvl w:val="0"/>
          <w:numId w:val="12"/>
        </w:numPr>
        <w:tabs>
          <w:tab w:val="left" w:pos="540" w:leader="none"/>
          <w:tab w:val="left" w:pos="4320" w:leader="none"/>
        </w:tabs>
        <w:jc w:val="both"/>
        <w:rPr>
          <w:sz w:val="20"/>
        </w:rPr>
      </w:pPr>
      <w:r>
        <w:rPr>
          <w:sz w:val="20"/>
        </w:rPr>
        <w:t>Pilot the intermediation business with minimal material infrastructure investment.</w:t>
      </w:r>
    </w:p>
    <w:p>
      <w:pPr>
        <w:pStyle w:val="Normal"/>
        <w:numPr>
          <w:ilvl w:val="0"/>
          <w:numId w:val="2"/>
        </w:numPr>
        <w:rPr>
          <w:sz w:val="20"/>
        </w:rPr>
      </w:pPr>
      <w:r>
        <w:rPr>
          <w:b/>
          <w:i/>
          <w:sz w:val="20"/>
          <w:u w:val="single"/>
        </w:rPr>
        <w:t>Breaking Bulk</w:t>
      </w:r>
      <w:r>
        <w:rPr>
          <w:sz w:val="20"/>
        </w:rPr>
        <w:t xml:space="preserve">.  Buyers are willing to pay a premium for short duration utilization.  Traditional server economics do not accommodate peak and project-based demand. </w:t>
      </w:r>
    </w:p>
    <w:p>
      <w:pPr>
        <w:pStyle w:val="Normal"/>
        <w:numPr>
          <w:ilvl w:val="0"/>
          <w:numId w:val="2"/>
        </w:numPr>
        <w:rPr>
          <w:sz w:val="20"/>
        </w:rPr>
      </w:pPr>
      <w:r>
        <w:rPr>
          <w:b/>
          <w:i/>
          <w:sz w:val="20"/>
          <w:u w:val="single"/>
        </w:rPr>
        <w:t>Geographically connecting compute power from suppliers to customers</w:t>
      </w:r>
      <w:r>
        <w:rPr>
          <w:sz w:val="20"/>
        </w:rPr>
        <w:t xml:space="preserve"> through metro and long haul networks.  All compute products can be delivered over IP and will allow Enron to take advantage of significant pricing differences between service providers and their geographical location.  This type of offering can be put on EnronOnline because delivery and supply logistics can be pre-provisioned with two or three suppliers.</w:t>
      </w:r>
    </w:p>
    <w:p>
      <w:pPr>
        <w:pStyle w:val="Heading2"/>
        <w:ind w:hanging="0" w:start="0"/>
        <w:rPr>
          <w:rFonts w:ascii="Arial" w:hAnsi="Arial" w:cs="Arial"/>
          <w:b/>
          <w:sz w:val="20"/>
        </w:rPr>
      </w:pPr>
      <w:r>
        <w:rPr>
          <w:rFonts w:cs="Arial" w:ascii="Arial" w:hAnsi="Arial"/>
          <w:b/>
          <w:sz w:val="20"/>
        </w:rPr>
      </w:r>
    </w:p>
    <w:p>
      <w:pPr>
        <w:pStyle w:val="Subject"/>
        <w:tabs>
          <w:tab w:val="left" w:pos="540" w:leader="none"/>
        </w:tabs>
        <w:rPr/>
      </w:pPr>
      <w:r>
        <w:rPr/>
        <w:t>Competitive advantages:</w:t>
      </w:r>
    </w:p>
    <w:p>
      <w:pPr>
        <w:pStyle w:val="Normal"/>
        <w:rPr/>
      </w:pPr>
      <w:r>
        <w:rPr>
          <w:b/>
          <w:i/>
          <w:sz w:val="20"/>
        </w:rPr>
        <w:t>Flexibility</w:t>
      </w:r>
      <w:r>
        <w:rPr>
          <w:b/>
          <w:sz w:val="20"/>
        </w:rPr>
        <w:t xml:space="preserve">: </w:t>
      </w:r>
      <w:r>
        <w:rPr>
          <w:sz w:val="20"/>
        </w:rPr>
        <w:t>Compute Power Capacity Terms (Size &amp; Term)</w:t>
      </w:r>
    </w:p>
    <w:p>
      <w:pPr>
        <w:pStyle w:val="Normal"/>
        <w:numPr>
          <w:ilvl w:val="0"/>
          <w:numId w:val="8"/>
        </w:numPr>
        <w:rPr>
          <w:sz w:val="20"/>
        </w:rPr>
      </w:pPr>
      <w:r>
        <w:rPr>
          <w:sz w:val="20"/>
        </w:rPr>
        <w:t xml:space="preserve">Intermediation model with firm delivery, bought and sold on a bilateral contract is a valuable differentiator.  </w:t>
      </w:r>
    </w:p>
    <w:p>
      <w:pPr>
        <w:pStyle w:val="Normal"/>
        <w:numPr>
          <w:ilvl w:val="0"/>
          <w:numId w:val="8"/>
        </w:numPr>
        <w:rPr>
          <w:sz w:val="20"/>
        </w:rPr>
      </w:pPr>
      <w:r>
        <w:rPr>
          <w:sz w:val="20"/>
        </w:rPr>
        <w:t xml:space="preserve">Shorter and more flexible term contracts are attractive for compute-intensive problems.   Suppliers offer only two or three year contracts with additional on-going infrastructure costs.  </w:t>
      </w:r>
    </w:p>
    <w:p>
      <w:pPr>
        <w:pStyle w:val="Normal"/>
        <w:numPr>
          <w:ilvl w:val="0"/>
          <w:numId w:val="8"/>
        </w:numPr>
        <w:rPr>
          <w:sz w:val="20"/>
        </w:rPr>
      </w:pPr>
      <w:r>
        <w:rPr>
          <w:sz w:val="20"/>
        </w:rPr>
        <w:t>Ideal for peak compute capacity users, or for those who benefit from accelerating access to predictive solutions from compute-intensive applications.</w:t>
      </w:r>
    </w:p>
    <w:p>
      <w:pPr>
        <w:pStyle w:val="Header"/>
        <w:tabs>
          <w:tab w:val="clear" w:pos="4320"/>
          <w:tab w:val="clear" w:pos="8640"/>
        </w:tabs>
        <w:rPr>
          <w:sz w:val="20"/>
        </w:rPr>
      </w:pPr>
      <w:r>
        <w:rPr>
          <w:sz w:val="20"/>
        </w:rPr>
      </w:r>
    </w:p>
    <w:p>
      <w:pPr>
        <w:pStyle w:val="Normal"/>
        <w:rPr/>
      </w:pPr>
      <w:r>
        <w:rPr>
          <w:b/>
          <w:i/>
          <w:sz w:val="20"/>
        </w:rPr>
        <w:t>Physical pooling of bandwidth, storage, and compute power</w:t>
      </w:r>
      <w:r>
        <w:rPr>
          <w:b/>
          <w:sz w:val="20"/>
        </w:rPr>
        <w:t xml:space="preserve">: </w:t>
      </w:r>
      <w:r>
        <w:rPr>
          <w:sz w:val="20"/>
        </w:rPr>
        <w:t>Flexible Bandwidth delivery &amp; access to storage across metro platform.</w:t>
      </w:r>
    </w:p>
    <w:p>
      <w:pPr>
        <w:pStyle w:val="Normal"/>
        <w:numPr>
          <w:ilvl w:val="0"/>
          <w:numId w:val="9"/>
        </w:numPr>
        <w:rPr>
          <w:sz w:val="20"/>
        </w:rPr>
      </w:pPr>
      <w:r>
        <w:rPr>
          <w:sz w:val="20"/>
        </w:rPr>
        <w:t>Ability to source compute power and storage from many suppliers is enabled by our pooling point concept.</w:t>
      </w:r>
    </w:p>
    <w:p>
      <w:pPr>
        <w:pStyle w:val="Normal"/>
        <w:numPr>
          <w:ilvl w:val="0"/>
          <w:numId w:val="3"/>
        </w:numPr>
        <w:rPr>
          <w:sz w:val="20"/>
        </w:rPr>
      </w:pPr>
      <w:r>
        <w:rPr>
          <w:sz w:val="20"/>
        </w:rPr>
        <w:t>One stop to get the best price for bandwidth, data storage, and compute power.  Best way to access all the suppliers.</w:t>
      </w:r>
    </w:p>
    <w:p>
      <w:pPr>
        <w:pStyle w:val="Normal"/>
        <w:numPr>
          <w:ilvl w:val="0"/>
          <w:numId w:val="3"/>
        </w:numPr>
        <w:rPr>
          <w:sz w:val="20"/>
        </w:rPr>
      </w:pPr>
      <w:r>
        <w:rPr>
          <w:sz w:val="20"/>
        </w:rPr>
        <w:t>Improve performance of applications by integrating bandwidth and storage with service delivery.</w:t>
      </w:r>
    </w:p>
    <w:p>
      <w:pPr>
        <w:pStyle w:val="Normal"/>
        <w:rPr>
          <w:sz w:val="20"/>
        </w:rPr>
      </w:pPr>
      <w:r>
        <w:rPr>
          <w:sz w:val="20"/>
        </w:rPr>
      </w:r>
    </w:p>
    <w:p>
      <w:pPr>
        <w:pStyle w:val="Heading8"/>
        <w:ind w:hanging="0" w:start="0"/>
        <w:rPr/>
      </w:pPr>
      <w:r>
        <w:rPr/>
        <w:t>Firm delivery &amp; contracts terms</w:t>
      </w:r>
    </w:p>
    <w:p>
      <w:pPr>
        <w:pStyle w:val="Normal"/>
        <w:numPr>
          <w:ilvl w:val="0"/>
          <w:numId w:val="7"/>
        </w:numPr>
        <w:rPr>
          <w:sz w:val="20"/>
        </w:rPr>
      </w:pPr>
      <w:r>
        <w:rPr>
          <w:sz w:val="20"/>
        </w:rPr>
        <w:t>Clearly identified availability guarantee</w:t>
      </w:r>
    </w:p>
    <w:p>
      <w:pPr>
        <w:pStyle w:val="Normal"/>
        <w:numPr>
          <w:ilvl w:val="0"/>
          <w:numId w:val="7"/>
        </w:numPr>
        <w:rPr>
          <w:sz w:val="20"/>
        </w:rPr>
      </w:pPr>
      <w:r>
        <w:rPr>
          <w:sz w:val="20"/>
        </w:rPr>
        <w:t>Bilateral contacts =&gt; Can be bought and sold to match short timelines</w:t>
      </w:r>
    </w:p>
    <w:p>
      <w:pPr>
        <w:pStyle w:val="Normal"/>
        <w:numPr>
          <w:ilvl w:val="0"/>
          <w:numId w:val="7"/>
        </w:numPr>
        <w:rPr>
          <w:sz w:val="20"/>
        </w:rPr>
      </w:pPr>
      <w:r>
        <w:rPr>
          <w:sz w:val="20"/>
        </w:rPr>
        <w:t>Liquidated damages if SLA terms are not met</w:t>
      </w:r>
    </w:p>
    <w:p>
      <w:pPr>
        <w:pStyle w:val="Normal"/>
        <w:tabs>
          <w:tab w:val="left" w:pos="540" w:leader="none"/>
          <w:tab w:val="left" w:pos="3240" w:leader="none"/>
          <w:tab w:val="left" w:pos="4320" w:leader="none"/>
        </w:tabs>
        <w:jc w:val="both"/>
        <w:rPr>
          <w:sz w:val="20"/>
        </w:rPr>
      </w:pPr>
      <w:r>
        <w:rPr>
          <w:sz w:val="20"/>
        </w:rPr>
      </w:r>
    </w:p>
    <w:p>
      <w:pPr>
        <w:pStyle w:val="Heading6"/>
        <w:jc w:val="start"/>
        <w:rPr>
          <w:rFonts w:ascii="Arial" w:hAnsi="Arial" w:cs="Arial"/>
          <w:sz w:val="20"/>
        </w:rPr>
      </w:pPr>
      <w:r>
        <w:rPr>
          <w:rFonts w:cs="Arial" w:ascii="Arial" w:hAnsi="Arial"/>
          <w:sz w:val="20"/>
        </w:rPr>
        <w:t>Book Architecture</w:t>
      </w:r>
    </w:p>
    <w:p>
      <w:pPr>
        <w:pStyle w:val="Normal"/>
        <w:rPr>
          <w:rFonts w:ascii="Arial" w:hAnsi="Arial" w:cs="Arial"/>
          <w:sz w:val="20"/>
        </w:rPr>
      </w:pPr>
      <w:r>
        <w:rPr>
          <w:rFonts w:cs="Arial"/>
          <w:sz w:val="20"/>
        </w:rPr>
      </w:r>
    </w:p>
    <w:p>
      <w:pPr>
        <w:pStyle w:val="Normal"/>
        <w:numPr>
          <w:ilvl w:val="0"/>
          <w:numId w:val="10"/>
        </w:numPr>
        <w:jc w:val="both"/>
        <w:rPr>
          <w:sz w:val="20"/>
        </w:rPr>
      </w:pPr>
      <w:r>
        <w:rPr>
          <w:sz w:val="20"/>
        </w:rPr>
        <w:t>There will be a separate book for Dedicated CPU capacity, Shared CPU capacity, Hosting Capacity.  Units will be in processer/day increments, except for Shared CPU which will system units/hour increments. Minimum initial term will be one month and maximum will be five years. Settlement terms will be monthly.</w:t>
      </w:r>
    </w:p>
    <w:p>
      <w:pPr>
        <w:pStyle w:val="Normal"/>
        <w:tabs>
          <w:tab w:val="left" w:pos="540" w:leader="none"/>
          <w:tab w:val="left" w:pos="2520" w:leader="none"/>
        </w:tabs>
        <w:rPr/>
      </w:pPr>
      <w:r>
        <w:rPr>
          <w:sz w:val="20"/>
        </w:rPr>
        <w:tab/>
      </w:r>
      <w:r>
        <w:rPr>
          <w:b/>
          <w:sz w:val="20"/>
        </w:rPr>
        <w:tab/>
      </w:r>
      <w:r>
        <w:rPr>
          <w:sz w:val="20"/>
        </w:rPr>
        <w:tab/>
        <w:tab/>
      </w:r>
    </w:p>
    <w:p>
      <w:pPr>
        <w:pStyle w:val="Heading6"/>
        <w:jc w:val="start"/>
        <w:rPr>
          <w:rFonts w:ascii="Arial" w:hAnsi="Arial" w:cs="Arial"/>
          <w:sz w:val="20"/>
        </w:rPr>
      </w:pPr>
      <w:r>
        <w:rPr>
          <w:rFonts w:cs="Arial" w:ascii="Arial" w:hAnsi="Arial"/>
          <w:sz w:val="20"/>
        </w:rPr>
        <w:t>Authorized Traders</w:t>
      </w:r>
    </w:p>
    <w:p>
      <w:pPr>
        <w:pStyle w:val="Normal"/>
        <w:numPr>
          <w:ilvl w:val="0"/>
          <w:numId w:val="10"/>
        </w:numPr>
        <w:jc w:val="both"/>
        <w:rPr>
          <w:sz w:val="20"/>
        </w:rPr>
      </w:pPr>
      <w:r>
        <w:rPr>
          <w:sz w:val="20"/>
        </w:rPr>
        <w:t>Frank Karbarz</w:t>
      </w:r>
    </w:p>
    <w:p>
      <w:pPr>
        <w:pStyle w:val="Normal"/>
        <w:numPr>
          <w:ilvl w:val="0"/>
          <w:numId w:val="10"/>
        </w:numPr>
        <w:jc w:val="both"/>
        <w:rPr>
          <w:sz w:val="20"/>
        </w:rPr>
      </w:pPr>
      <w:r>
        <w:rPr>
          <w:sz w:val="20"/>
        </w:rPr>
        <w:t>Ravi Thuraisingham</w:t>
      </w:r>
      <w:r>
        <w:br w:type="page"/>
      </w:r>
    </w:p>
    <w:p>
      <w:pPr>
        <w:pStyle w:val="Normal"/>
        <w:tabs>
          <w:tab w:val="left" w:pos="540" w:leader="none"/>
          <w:tab w:val="left" w:pos="2520" w:leader="none"/>
        </w:tabs>
        <w:rPr>
          <w:sz w:val="20"/>
        </w:rPr>
      </w:pPr>
      <w:r>
        <w:rPr>
          <w:sz w:val="20"/>
        </w:rPr>
        <w:t>.</w:t>
      </w:r>
    </w:p>
    <w:p>
      <w:pPr>
        <w:pStyle w:val="Heading6"/>
        <w:jc w:val="start"/>
        <w:rPr>
          <w:rFonts w:ascii="Arial" w:hAnsi="Arial" w:cs="Arial"/>
          <w:sz w:val="20"/>
        </w:rPr>
      </w:pPr>
      <w:r>
        <w:rPr>
          <w:rFonts w:cs="Arial" w:ascii="Arial" w:hAnsi="Arial"/>
          <w:sz w:val="20"/>
        </w:rPr>
        <w:t>Quantitative Risk Parameters:</w:t>
      </w:r>
    </w:p>
    <w:p>
      <w:pPr>
        <w:pStyle w:val="Normal"/>
        <w:rPr>
          <w:rFonts w:ascii="Arial" w:hAnsi="Arial" w:cs="Arial"/>
          <w:sz w:val="20"/>
        </w:rPr>
      </w:pPr>
      <w:r>
        <w:rPr>
          <w:rFonts w:cs="Arial"/>
          <w:sz w:val="20"/>
        </w:rPr>
      </w:r>
    </w:p>
    <w:p>
      <w:pPr>
        <w:pStyle w:val="Normal"/>
        <w:rPr>
          <w:sz w:val="20"/>
        </w:rPr>
      </w:pPr>
      <w:r>
        <w:rPr>
          <w:sz w:val="20"/>
        </w:rPr>
        <w:t>Proposed VAR: $1,000,000, Maximum Daily loss (50% of VAR), Cumulative 5-day Loss (75% of VAR).</w:t>
      </w:r>
    </w:p>
    <w:p>
      <w:pPr>
        <w:pStyle w:val="Normal"/>
        <w:jc w:val="both"/>
        <w:rPr>
          <w:sz w:val="20"/>
        </w:rPr>
      </w:pPr>
      <w:r>
        <w:rPr>
          <w:sz w:val="20"/>
        </w:rPr>
      </w:r>
    </w:p>
    <w:p>
      <w:pPr>
        <w:pStyle w:val="Normal"/>
        <w:jc w:val="both"/>
        <w:rPr>
          <w:sz w:val="20"/>
        </w:rPr>
      </w:pPr>
      <w:r>
        <w:rPr>
          <w:sz w:val="20"/>
        </w:rPr>
        <w:t>We expect typical transaction volume to be 64 CPU for 30 days and $200,000 notional. ($1/CPU/H)</w:t>
      </w:r>
    </w:p>
    <w:p>
      <w:pPr>
        <w:pStyle w:val="Normal"/>
        <w:rPr>
          <w:sz w:val="20"/>
        </w:rPr>
      </w:pPr>
      <w:r>
        <w:rPr>
          <w:sz w:val="20"/>
        </w:rPr>
        <w:t>We expect 50 transactions in first year of operations.</w:t>
      </w:r>
    </w:p>
    <w:p>
      <w:pPr>
        <w:pStyle w:val="Normal"/>
        <w:jc w:val="both"/>
        <w:rPr>
          <w:sz w:val="20"/>
        </w:rPr>
      </w:pPr>
      <w:r>
        <w:rPr>
          <w:sz w:val="20"/>
        </w:rPr>
      </w:r>
      <w:r>
        <w:br w:type="page"/>
      </w:r>
    </w:p>
    <w:p>
      <w:pPr>
        <w:pStyle w:val="BodyText"/>
        <w:rPr>
          <w:rFonts w:ascii="Arial" w:hAnsi="Arial" w:eastAsia="Arial" w:cs="Arial"/>
          <w:sz w:val="20"/>
        </w:rPr>
      </w:pPr>
      <w:r>
        <w:rPr>
          <w:rFonts w:eastAsia="Arial" w:cs="Arial" w:ascii="Arial" w:hAnsi="Arial"/>
          <w:sz w:val="20"/>
        </w:rPr>
        <w:t xml:space="preserve"> </w:t>
      </w:r>
    </w:p>
    <w:p>
      <w:pPr>
        <w:pStyle w:val="BodyText"/>
        <w:jc w:val="start"/>
        <w:rPr>
          <w:rFonts w:ascii="Arial" w:hAnsi="Arial" w:cs="Arial"/>
          <w:b/>
          <w:sz w:val="20"/>
          <w:u w:val="single"/>
        </w:rPr>
      </w:pPr>
      <w:r>
        <w:rPr>
          <w:rFonts w:cs="Arial" w:ascii="Arial" w:hAnsi="Arial"/>
          <w:b/>
          <w:sz w:val="20"/>
          <w:u w:val="single"/>
        </w:rPr>
      </w:r>
    </w:p>
    <w:p>
      <w:pPr>
        <w:pStyle w:val="BodyText"/>
        <w:jc w:val="start"/>
        <w:rPr>
          <w:rFonts w:ascii="Arial" w:hAnsi="Arial" w:cs="Arial"/>
          <w:b/>
          <w:sz w:val="20"/>
          <w:u w:val="single"/>
        </w:rPr>
      </w:pPr>
      <w:r>
        <w:rPr>
          <w:rFonts w:cs="Arial" w:ascii="Arial" w:hAnsi="Arial"/>
          <w:b/>
          <w:sz w:val="20"/>
          <w:u w:val="single"/>
        </w:rPr>
      </w:r>
    </w:p>
    <w:p>
      <w:pPr>
        <w:pStyle w:val="BodyText"/>
        <w:jc w:val="start"/>
        <w:rPr>
          <w:rFonts w:ascii="Arial" w:hAnsi="Arial" w:cs="Arial"/>
          <w:sz w:val="20"/>
        </w:rPr>
      </w:pPr>
      <w:r>
        <w:rPr>
          <w:rFonts w:cs="Arial" w:ascii="Arial" w:hAnsi="Arial"/>
          <w:sz w:val="20"/>
        </w:rPr>
      </w:r>
    </w:p>
    <w:p>
      <w:pPr>
        <w:pStyle w:val="Normal"/>
        <w:tabs>
          <w:tab w:val="left" w:pos="540" w:leader="none"/>
          <w:tab w:val="left" w:pos="2520" w:leader="none"/>
        </w:tabs>
        <w:ind w:hanging="2160" w:start="2160" w:end="0"/>
        <w:jc w:val="both"/>
        <w:rPr>
          <w:sz w:val="20"/>
        </w:rPr>
      </w:pPr>
      <w:r>
        <w:rPr>
          <w:b/>
          <w:sz w:val="20"/>
          <w:u w:val="single"/>
        </w:rPr>
        <w:t>Approvals</w:t>
      </w:r>
    </w:p>
    <w:p>
      <w:pPr>
        <w:pStyle w:val="Normal"/>
        <w:tabs>
          <w:tab w:val="left" w:pos="540" w:leader="none"/>
          <w:tab w:val="left" w:pos="2520" w:leader="none"/>
        </w:tabs>
        <w:ind w:hanging="2160" w:start="2160" w:end="0"/>
        <w:jc w:val="both"/>
        <w:rPr>
          <w:sz w:val="20"/>
        </w:rPr>
      </w:pPr>
      <w:r>
        <w:rPr>
          <w:sz w:val="20"/>
        </w:rPr>
      </w:r>
    </w:p>
    <w:p>
      <w:pPr>
        <w:pStyle w:val="BodyText"/>
        <w:rPr/>
      </w:pPr>
      <w:r>
        <w:rPr>
          <w:rFonts w:cs="Arial" w:ascii="Arial" w:hAnsi="Arial"/>
          <w:sz w:val="20"/>
        </w:rPr>
        <w:t>The aforementioned limits are effective on _________, subject to completion of the items listed in the</w:t>
      </w:r>
      <w:r>
        <w:rPr>
          <w:rFonts w:cs="Arial" w:ascii="Arial" w:hAnsi="Arial"/>
          <w:b/>
          <w:sz w:val="20"/>
        </w:rPr>
        <w:t xml:space="preserve"> Conditions Precedent</w:t>
      </w:r>
      <w:r>
        <w:rPr>
          <w:rFonts w:cs="Arial" w:ascii="Arial" w:hAnsi="Arial"/>
          <w:sz w:val="20"/>
        </w:rPr>
        <w:t xml:space="preserve"> section.  For interim limit approvals, the limit shall remain in place unless amended by the signatories through _____ (no more than 6 months for new commodity).  </w:t>
      </w:r>
    </w:p>
    <w:p>
      <w:pPr>
        <w:pStyle w:val="BodyText"/>
        <w:rPr>
          <w:rFonts w:ascii="Arial" w:hAnsi="Arial" w:cs="Arial"/>
          <w:sz w:val="20"/>
        </w:rPr>
      </w:pPr>
      <w:r>
        <w:rPr>
          <w:rFonts w:cs="Arial" w:ascii="Arial" w:hAnsi="Arial"/>
          <w:sz w:val="20"/>
        </w:rPr>
      </w:r>
    </w:p>
    <w:p>
      <w:pPr>
        <w:pStyle w:val="BodyText"/>
        <w:rPr/>
      </w:pPr>
      <w:r>
        <w:rPr>
          <w:rFonts w:cs="Arial" w:ascii="Arial" w:hAnsi="Arial"/>
          <w:sz w:val="20"/>
        </w:rPr>
        <w:t xml:space="preserve">Signature below signifies this function will have the infrastructure in place to handle this new business, unless noted above in the </w:t>
      </w:r>
      <w:r>
        <w:rPr>
          <w:rFonts w:cs="Arial" w:ascii="Arial" w:hAnsi="Arial"/>
          <w:b/>
          <w:sz w:val="20"/>
        </w:rPr>
        <w:t>Conditions Precedent</w:t>
      </w:r>
      <w:r>
        <w:rPr>
          <w:rFonts w:cs="Arial" w:ascii="Arial" w:hAnsi="Arial"/>
          <w:sz w:val="20"/>
        </w:rPr>
        <w:t xml:space="preserve"> section.</w:t>
      </w:r>
    </w:p>
    <w:p>
      <w:pPr>
        <w:pStyle w:val="BodyText"/>
        <w:rPr/>
      </w:pPr>
      <w:r>
        <w:rPr>
          <w:rFonts w:cs="Arial" w:ascii="Arial" w:hAnsi="Arial"/>
          <w:sz w:val="20"/>
        </w:rPr>
        <w:tab/>
        <w:tab/>
        <w:tab/>
        <w:tab/>
        <w:tab/>
        <w:tab/>
        <w:t xml:space="preserve">          </w:t>
      </w:r>
      <w:r>
        <w:rPr>
          <w:rFonts w:cs="Arial" w:ascii="Arial" w:hAnsi="Arial"/>
          <w:b/>
          <w:sz w:val="20"/>
        </w:rPr>
        <w:t>Approved</w:t>
        <w:tab/>
        <w:tab/>
        <w:tab/>
        <w:tab/>
        <w:t>Date</w:t>
      </w:r>
    </w:p>
    <w:p>
      <w:pPr>
        <w:pStyle w:val="BodyText"/>
        <w:rPr>
          <w:rFonts w:ascii="Arial" w:hAnsi="Arial" w:cs="Arial"/>
          <w:b/>
          <w:sz w:val="20"/>
        </w:rPr>
      </w:pPr>
      <w:r>
        <w:rPr>
          <w:rFonts w:cs="Arial" w:ascii="Arial" w:hAnsi="Arial"/>
          <w:b/>
          <w:sz w:val="20"/>
        </w:rPr>
      </w:r>
    </w:p>
    <w:p>
      <w:pPr>
        <w:pStyle w:val="Normal"/>
        <w:tabs>
          <w:tab w:val="clear" w:pos="540"/>
          <w:tab w:val="left" w:pos="0" w:leader="none"/>
          <w:tab w:val="left" w:pos="3780" w:leader="none"/>
          <w:tab w:val="left" w:pos="4320" w:leader="none"/>
        </w:tabs>
        <w:jc w:val="both"/>
        <w:rPr>
          <w:sz w:val="20"/>
        </w:rPr>
      </w:pPr>
      <w:r>
        <w:rPr>
          <w:sz w:val="20"/>
        </w:rPr>
        <w:t>Business Unit Head Trader</w:t>
      </w:r>
    </w:p>
    <w:p>
      <w:pPr>
        <w:pStyle w:val="Normal"/>
        <w:tabs>
          <w:tab w:val="clear" w:pos="540"/>
          <w:tab w:val="left" w:pos="0" w:leader="none"/>
          <w:tab w:val="left" w:pos="4140" w:leader="none"/>
          <w:tab w:val="left" w:pos="4320" w:leader="none"/>
        </w:tabs>
        <w:jc w:val="both"/>
        <w:rPr>
          <w:sz w:val="20"/>
        </w:rPr>
      </w:pPr>
      <w:r>
        <w:rPr>
          <w:sz w:val="20"/>
        </w:rPr>
        <w:t>(if not author of memo)</w:t>
        <w:tab/>
        <w:t>_______________________________               _____________</w:t>
      </w:r>
    </w:p>
    <w:p>
      <w:pPr>
        <w:pStyle w:val="Normal"/>
        <w:tabs>
          <w:tab w:val="clear" w:pos="540"/>
          <w:tab w:val="left" w:pos="0" w:leader="none"/>
          <w:tab w:val="left" w:pos="4140" w:leader="none"/>
          <w:tab w:val="left" w:pos="4320" w:leader="none"/>
        </w:tabs>
        <w:jc w:val="both"/>
        <w:rPr>
          <w:sz w:val="20"/>
          <w:u w:val="single"/>
        </w:rPr>
      </w:pPr>
      <w:r>
        <w:rPr>
          <w:sz w:val="20"/>
          <w:u w:val="single"/>
        </w:rPr>
      </w:r>
    </w:p>
    <w:p>
      <w:pPr>
        <w:pStyle w:val="Normal"/>
        <w:tabs>
          <w:tab w:val="clear" w:pos="540"/>
          <w:tab w:val="left" w:pos="0" w:leader="none"/>
          <w:tab w:val="left" w:pos="4140" w:leader="none"/>
          <w:tab w:val="left" w:pos="4320" w:leader="none"/>
        </w:tabs>
        <w:jc w:val="both"/>
        <w:rPr>
          <w:sz w:val="20"/>
        </w:rPr>
      </w:pPr>
      <w:r>
        <w:rPr>
          <w:sz w:val="20"/>
        </w:rPr>
        <w:t xml:space="preserve">Global Head Trader </w:t>
        <w:tab/>
        <w:t>_______________________________               _____________</w:t>
      </w:r>
    </w:p>
    <w:p>
      <w:pPr>
        <w:pStyle w:val="Normal"/>
        <w:tabs>
          <w:tab w:val="clear" w:pos="540"/>
          <w:tab w:val="left" w:pos="0" w:leader="none"/>
          <w:tab w:val="left" w:pos="4140" w:leader="none"/>
          <w:tab w:val="left" w:pos="4320" w:leader="none"/>
        </w:tabs>
        <w:jc w:val="both"/>
        <w:rPr>
          <w:sz w:val="20"/>
        </w:rPr>
      </w:pPr>
      <w:r>
        <w:rPr>
          <w:sz w:val="20"/>
        </w:rPr>
      </w:r>
    </w:p>
    <w:p>
      <w:pPr>
        <w:pStyle w:val="Normal"/>
        <w:tabs>
          <w:tab w:val="clear" w:pos="540"/>
          <w:tab w:val="left" w:pos="0" w:leader="none"/>
          <w:tab w:val="left" w:pos="4140" w:leader="none"/>
          <w:tab w:val="left" w:pos="4320" w:leader="none"/>
        </w:tabs>
        <w:jc w:val="both"/>
        <w:rPr>
          <w:sz w:val="20"/>
        </w:rPr>
      </w:pPr>
      <w:r>
        <w:rPr>
          <w:sz w:val="20"/>
        </w:rPr>
        <w:t>COO or CEO – Business Unit</w:t>
        <w:tab/>
        <w:t>_______________________________               _____________</w:t>
      </w:r>
    </w:p>
    <w:p>
      <w:pPr>
        <w:pStyle w:val="Normal"/>
        <w:tabs>
          <w:tab w:val="clear" w:pos="540"/>
          <w:tab w:val="left" w:pos="0" w:leader="none"/>
          <w:tab w:val="left" w:pos="4140" w:leader="none"/>
          <w:tab w:val="left" w:pos="4320" w:leader="none"/>
        </w:tabs>
        <w:jc w:val="both"/>
        <w:rPr>
          <w:sz w:val="20"/>
          <w:u w:val="single"/>
        </w:rPr>
      </w:pPr>
      <w:r>
        <w:rPr>
          <w:sz w:val="20"/>
        </w:rPr>
        <w:tab/>
        <w:tab/>
        <w:tab/>
        <w:tab/>
        <w:tab/>
      </w:r>
    </w:p>
    <w:p>
      <w:pPr>
        <w:pStyle w:val="Normal"/>
        <w:tabs>
          <w:tab w:val="left" w:pos="540" w:leader="none"/>
          <w:tab w:val="left" w:pos="4140" w:leader="none"/>
          <w:tab w:val="left" w:pos="4320" w:leader="none"/>
        </w:tabs>
        <w:ind w:hanging="2160" w:start="2160" w:end="0"/>
        <w:jc w:val="both"/>
        <w:rPr>
          <w:sz w:val="20"/>
        </w:rPr>
      </w:pPr>
      <w:r>
        <w:rPr>
          <w:sz w:val="20"/>
        </w:rPr>
        <w:t>Research</w:t>
        <w:tab/>
        <w:tab/>
        <w:t>_______________________________               _____________</w:t>
      </w:r>
    </w:p>
    <w:p>
      <w:pPr>
        <w:pStyle w:val="Normal"/>
        <w:tabs>
          <w:tab w:val="left" w:pos="540" w:leader="none"/>
          <w:tab w:val="left" w:pos="4140" w:leader="none"/>
          <w:tab w:val="left" w:pos="4320" w:leader="none"/>
        </w:tabs>
        <w:ind w:hanging="2160" w:start="2160" w:end="0"/>
        <w:jc w:val="both"/>
        <w:rPr>
          <w:sz w:val="20"/>
        </w:rPr>
      </w:pPr>
      <w:r>
        <w:rPr>
          <w:sz w:val="20"/>
        </w:rPr>
      </w:r>
    </w:p>
    <w:p>
      <w:pPr>
        <w:pStyle w:val="Normal"/>
        <w:tabs>
          <w:tab w:val="left" w:pos="540" w:leader="none"/>
          <w:tab w:val="left" w:pos="4140" w:leader="none"/>
          <w:tab w:val="left" w:pos="4320" w:leader="none"/>
        </w:tabs>
        <w:ind w:hanging="2160" w:start="2160" w:end="0"/>
        <w:jc w:val="both"/>
        <w:rPr>
          <w:sz w:val="20"/>
        </w:rPr>
      </w:pPr>
      <w:r>
        <w:rPr>
          <w:sz w:val="20"/>
        </w:rPr>
        <w:t>Legal</w:t>
        <w:tab/>
        <w:tab/>
        <w:tab/>
        <w:t>_______________________________               _____________</w:t>
      </w:r>
    </w:p>
    <w:p>
      <w:pPr>
        <w:pStyle w:val="Normal"/>
        <w:tabs>
          <w:tab w:val="left" w:pos="540" w:leader="none"/>
          <w:tab w:val="left" w:pos="4140" w:leader="none"/>
          <w:tab w:val="left" w:pos="4320" w:leader="none"/>
        </w:tabs>
        <w:ind w:hanging="2160" w:start="2160" w:end="0"/>
        <w:jc w:val="both"/>
        <w:rPr>
          <w:sz w:val="20"/>
        </w:rPr>
      </w:pPr>
      <w:r>
        <w:rPr>
          <w:sz w:val="20"/>
        </w:rPr>
      </w:r>
    </w:p>
    <w:p>
      <w:pPr>
        <w:pStyle w:val="Normal"/>
        <w:tabs>
          <w:tab w:val="left" w:pos="540" w:leader="none"/>
          <w:tab w:val="left" w:pos="4140" w:leader="none"/>
        </w:tabs>
        <w:ind w:hanging="2160" w:start="2160" w:end="0"/>
        <w:jc w:val="both"/>
        <w:rPr>
          <w:sz w:val="20"/>
        </w:rPr>
      </w:pPr>
      <w:r>
        <w:rPr>
          <w:sz w:val="20"/>
        </w:rPr>
        <w:t>Credit</w:t>
        <w:tab/>
        <w:tab/>
        <w:tab/>
        <w:t>_______________________________               _____________</w:t>
      </w:r>
    </w:p>
    <w:p>
      <w:pPr>
        <w:pStyle w:val="Normal"/>
        <w:tabs>
          <w:tab w:val="left" w:pos="540" w:leader="none"/>
          <w:tab w:val="left" w:pos="4140" w:leader="none"/>
        </w:tabs>
        <w:ind w:hanging="2160" w:start="2160" w:end="0"/>
        <w:jc w:val="both"/>
        <w:rPr>
          <w:sz w:val="20"/>
        </w:rPr>
      </w:pPr>
      <w:r>
        <w:rPr>
          <w:sz w:val="20"/>
        </w:rPr>
      </w:r>
    </w:p>
    <w:p>
      <w:pPr>
        <w:pStyle w:val="Normal"/>
        <w:tabs>
          <w:tab w:val="left" w:pos="540" w:leader="none"/>
          <w:tab w:val="left" w:pos="4140" w:leader="none"/>
          <w:tab w:val="left" w:pos="4320" w:leader="none"/>
        </w:tabs>
        <w:ind w:hanging="2160" w:start="2160" w:end="0"/>
        <w:jc w:val="both"/>
        <w:rPr>
          <w:sz w:val="20"/>
        </w:rPr>
      </w:pPr>
      <w:r>
        <w:rPr>
          <w:sz w:val="20"/>
        </w:rPr>
        <w:t>Energy Operations Risk Management</w:t>
        <w:tab/>
        <w:t>_______________________________               _____________</w:t>
      </w:r>
    </w:p>
    <w:p>
      <w:pPr>
        <w:pStyle w:val="Normal"/>
        <w:tabs>
          <w:tab w:val="left" w:pos="540" w:leader="none"/>
          <w:tab w:val="left" w:pos="4140" w:leader="none"/>
          <w:tab w:val="left" w:pos="4320" w:leader="none"/>
        </w:tabs>
        <w:ind w:hanging="2160" w:start="2160" w:end="0"/>
        <w:jc w:val="both"/>
        <w:rPr>
          <w:sz w:val="20"/>
        </w:rPr>
      </w:pPr>
      <w:r>
        <w:rPr>
          <w:sz w:val="20"/>
        </w:rPr>
        <w:t>(business unit)</w:t>
        <w:tab/>
        <w:tab/>
        <w:tab/>
        <w:tab/>
        <w:tab/>
        <w:tab/>
      </w:r>
    </w:p>
    <w:p>
      <w:pPr>
        <w:pStyle w:val="Normal"/>
        <w:tabs>
          <w:tab w:val="left" w:pos="540" w:leader="none"/>
          <w:tab w:val="left" w:pos="4140" w:leader="none"/>
          <w:tab w:val="left" w:pos="4320" w:leader="none"/>
        </w:tabs>
        <w:ind w:hanging="2160" w:start="2160" w:end="0"/>
        <w:jc w:val="both"/>
        <w:rPr>
          <w:sz w:val="20"/>
        </w:rPr>
      </w:pPr>
      <w:r>
        <w:rPr>
          <w:sz w:val="20"/>
        </w:rPr>
      </w:r>
    </w:p>
    <w:p>
      <w:pPr>
        <w:pStyle w:val="Normal"/>
        <w:tabs>
          <w:tab w:val="left" w:pos="540" w:leader="none"/>
          <w:tab w:val="left" w:pos="4140" w:leader="none"/>
          <w:tab w:val="left" w:pos="4320" w:leader="none"/>
        </w:tabs>
        <w:ind w:hanging="2160" w:start="2160" w:end="0"/>
        <w:jc w:val="both"/>
        <w:rPr>
          <w:sz w:val="20"/>
        </w:rPr>
      </w:pPr>
      <w:r>
        <w:rPr>
          <w:sz w:val="20"/>
        </w:rPr>
        <w:t>Global Energy Operations Risk Management</w:t>
        <w:tab/>
        <w:t>_______________________________               _____________</w:t>
      </w:r>
    </w:p>
    <w:p>
      <w:pPr>
        <w:pStyle w:val="Normal"/>
        <w:tabs>
          <w:tab w:val="left" w:pos="540" w:leader="none"/>
          <w:tab w:val="left" w:pos="4140" w:leader="none"/>
          <w:tab w:val="left" w:pos="4320" w:leader="none"/>
        </w:tabs>
        <w:ind w:hanging="2160" w:start="2160" w:end="0"/>
        <w:jc w:val="both"/>
        <w:rPr>
          <w:sz w:val="20"/>
        </w:rPr>
      </w:pPr>
      <w:r>
        <w:rPr>
          <w:sz w:val="20"/>
        </w:rPr>
        <w:t>(if new commodity group on DPR)</w:t>
      </w:r>
    </w:p>
    <w:p>
      <w:pPr>
        <w:pStyle w:val="Normal"/>
        <w:tabs>
          <w:tab w:val="left" w:pos="540" w:leader="none"/>
          <w:tab w:val="left" w:pos="4140" w:leader="none"/>
          <w:tab w:val="left" w:pos="4320" w:leader="none"/>
        </w:tabs>
        <w:ind w:hanging="2160" w:start="2160" w:end="0"/>
        <w:jc w:val="both"/>
        <w:rPr>
          <w:sz w:val="20"/>
        </w:rPr>
      </w:pPr>
      <w:r>
        <w:rPr>
          <w:sz w:val="20"/>
        </w:rPr>
      </w:r>
    </w:p>
    <w:p>
      <w:pPr>
        <w:pStyle w:val="Normal"/>
        <w:tabs>
          <w:tab w:val="left" w:pos="540" w:leader="none"/>
          <w:tab w:val="left" w:pos="4140" w:leader="none"/>
          <w:tab w:val="left" w:pos="4320" w:leader="none"/>
        </w:tabs>
        <w:ind w:hanging="2160" w:start="2160" w:end="0"/>
        <w:jc w:val="both"/>
        <w:rPr>
          <w:sz w:val="20"/>
        </w:rPr>
      </w:pPr>
      <w:r>
        <w:rPr>
          <w:sz w:val="20"/>
        </w:rPr>
        <w:t>Accounting (if new product)</w:t>
        <w:tab/>
        <w:t>_______________________________               _____________</w:t>
      </w:r>
    </w:p>
    <w:p>
      <w:pPr>
        <w:pStyle w:val="Normal"/>
        <w:tabs>
          <w:tab w:val="left" w:pos="540" w:leader="none"/>
          <w:tab w:val="left" w:pos="4140" w:leader="none"/>
          <w:tab w:val="left" w:pos="4320" w:leader="none"/>
        </w:tabs>
        <w:ind w:hanging="2160" w:start="2160" w:end="0"/>
        <w:jc w:val="both"/>
        <w:rPr>
          <w:sz w:val="20"/>
        </w:rPr>
      </w:pPr>
      <w:r>
        <w:rPr>
          <w:sz w:val="20"/>
        </w:rPr>
      </w:r>
    </w:p>
    <w:p>
      <w:pPr>
        <w:pStyle w:val="Normal"/>
        <w:tabs>
          <w:tab w:val="left" w:pos="540" w:leader="none"/>
          <w:tab w:val="left" w:pos="4140" w:leader="none"/>
          <w:tab w:val="left" w:pos="4320" w:leader="none"/>
        </w:tabs>
        <w:ind w:hanging="2160" w:start="2160" w:end="0"/>
        <w:jc w:val="both"/>
        <w:rPr>
          <w:sz w:val="20"/>
        </w:rPr>
      </w:pPr>
      <w:r>
        <w:rPr>
          <w:sz w:val="20"/>
        </w:rPr>
        <w:t>Tax (if new product)</w:t>
        <w:tab/>
        <w:tab/>
        <w:t>_______________________________               _____________</w:t>
      </w:r>
    </w:p>
    <w:p>
      <w:pPr>
        <w:pStyle w:val="Normal"/>
        <w:tabs>
          <w:tab w:val="left" w:pos="540" w:leader="none"/>
          <w:tab w:val="left" w:pos="4140" w:leader="none"/>
          <w:tab w:val="left" w:pos="4320" w:leader="none"/>
        </w:tabs>
        <w:ind w:hanging="2160" w:start="2160" w:end="0"/>
        <w:jc w:val="both"/>
        <w:rPr>
          <w:sz w:val="20"/>
        </w:rPr>
      </w:pPr>
      <w:r>
        <w:rPr>
          <w:sz w:val="20"/>
        </w:rPr>
      </w:r>
    </w:p>
    <w:p>
      <w:pPr>
        <w:pStyle w:val="Normal"/>
        <w:tabs>
          <w:tab w:val="left" w:pos="540" w:leader="none"/>
          <w:tab w:val="left" w:pos="4140" w:leader="none"/>
          <w:tab w:val="left" w:pos="4320" w:leader="none"/>
        </w:tabs>
        <w:ind w:hanging="2160" w:start="2160" w:end="0"/>
        <w:jc w:val="both"/>
        <w:rPr>
          <w:sz w:val="20"/>
        </w:rPr>
      </w:pPr>
      <w:r>
        <w:rPr>
          <w:sz w:val="20"/>
        </w:rPr>
        <w:t>Enron Net Works (if EOL involved)</w:t>
        <w:tab/>
        <w:t>_______________________________               _____________</w:t>
      </w:r>
    </w:p>
    <w:p>
      <w:pPr>
        <w:pStyle w:val="Normal"/>
        <w:tabs>
          <w:tab w:val="left" w:pos="540" w:leader="none"/>
          <w:tab w:val="left" w:pos="4140" w:leader="none"/>
          <w:tab w:val="left" w:pos="4320" w:leader="none"/>
        </w:tabs>
        <w:ind w:hanging="2160" w:start="2160" w:end="0"/>
        <w:jc w:val="both"/>
        <w:rPr>
          <w:sz w:val="20"/>
        </w:rPr>
      </w:pPr>
      <w:r>
        <w:rPr>
          <w:sz w:val="20"/>
        </w:rPr>
      </w:r>
    </w:p>
    <w:p>
      <w:pPr>
        <w:pStyle w:val="Normal"/>
        <w:tabs>
          <w:tab w:val="left" w:pos="540" w:leader="none"/>
          <w:tab w:val="left" w:pos="4140" w:leader="none"/>
          <w:tab w:val="left" w:pos="4320" w:leader="none"/>
        </w:tabs>
        <w:ind w:hanging="2160" w:start="2160" w:end="0"/>
        <w:jc w:val="both"/>
        <w:rPr>
          <w:sz w:val="20"/>
        </w:rPr>
      </w:pPr>
      <w:r>
        <w:rPr>
          <w:sz w:val="20"/>
        </w:rPr>
        <w:t>Regulatory (if new product or market)</w:t>
        <w:tab/>
        <w:t>_______________________________               _____________</w:t>
      </w:r>
    </w:p>
    <w:p>
      <w:pPr>
        <w:pStyle w:val="Normal"/>
        <w:tabs>
          <w:tab w:val="left" w:pos="540" w:leader="none"/>
          <w:tab w:val="left" w:pos="3240" w:leader="none"/>
          <w:tab w:val="left" w:pos="4140" w:leader="none"/>
          <w:tab w:val="left" w:pos="4320" w:leader="none"/>
        </w:tabs>
        <w:ind w:hanging="2160" w:start="2160" w:end="0"/>
        <w:jc w:val="both"/>
        <w:rPr>
          <w:sz w:val="20"/>
        </w:rPr>
      </w:pPr>
      <w:r>
        <w:rPr>
          <w:sz w:val="20"/>
        </w:rPr>
      </w:r>
    </w:p>
    <w:p>
      <w:pPr>
        <w:pStyle w:val="Normal"/>
        <w:tabs>
          <w:tab w:val="left" w:pos="540" w:leader="none"/>
          <w:tab w:val="left" w:pos="4140" w:leader="none"/>
          <w:tab w:val="left" w:pos="4320" w:leader="none"/>
        </w:tabs>
        <w:ind w:hanging="2160" w:start="2160" w:end="0"/>
        <w:jc w:val="both"/>
        <w:rPr>
          <w:sz w:val="20"/>
        </w:rPr>
      </w:pPr>
      <w:r>
        <w:rPr>
          <w:sz w:val="20"/>
        </w:rPr>
        <w:t>Market Risk Management</w:t>
        <w:tab/>
        <w:t>_______________________________               _____________</w:t>
      </w:r>
    </w:p>
    <w:p>
      <w:pPr>
        <w:pStyle w:val="Normal"/>
        <w:tabs>
          <w:tab w:val="left" w:pos="540" w:leader="none"/>
          <w:tab w:val="left" w:pos="4140" w:leader="none"/>
          <w:tab w:val="left" w:pos="4320" w:leader="none"/>
        </w:tabs>
        <w:ind w:hanging="2160" w:start="2160" w:end="0"/>
        <w:jc w:val="both"/>
        <w:rPr>
          <w:sz w:val="20"/>
        </w:rPr>
      </w:pPr>
      <w:r>
        <w:rPr>
          <w:sz w:val="20"/>
        </w:rPr>
      </w:r>
    </w:p>
    <w:p>
      <w:pPr>
        <w:pStyle w:val="Normal"/>
        <w:tabs>
          <w:tab w:val="left" w:pos="540" w:leader="none"/>
          <w:tab w:val="left" w:pos="4140" w:leader="none"/>
          <w:tab w:val="left" w:pos="4320" w:leader="none"/>
        </w:tabs>
        <w:ind w:hanging="2160" w:start="2160" w:end="0"/>
        <w:jc w:val="both"/>
        <w:rPr>
          <w:sz w:val="20"/>
        </w:rPr>
      </w:pPr>
      <w:r>
        <w:rPr>
          <w:sz w:val="20"/>
        </w:rPr>
        <w:t>Rick Buy, CRO</w:t>
        <w:tab/>
        <w:tab/>
        <w:t>_______________________________               _____________</w:t>
      </w:r>
    </w:p>
    <w:p>
      <w:pPr>
        <w:pStyle w:val="Normal"/>
        <w:tabs>
          <w:tab w:val="left" w:pos="540" w:leader="none"/>
          <w:tab w:val="left" w:pos="4140" w:leader="none"/>
          <w:tab w:val="left" w:pos="4320" w:leader="none"/>
        </w:tabs>
        <w:ind w:hanging="2160" w:start="2160" w:end="0"/>
        <w:jc w:val="both"/>
        <w:rPr>
          <w:sz w:val="20"/>
        </w:rPr>
      </w:pPr>
      <w:r>
        <w:rPr>
          <w:sz w:val="20"/>
        </w:rPr>
      </w:r>
    </w:p>
    <w:p>
      <w:pPr>
        <w:pStyle w:val="Normal"/>
        <w:tabs>
          <w:tab w:val="left" w:pos="540" w:leader="none"/>
          <w:tab w:val="left" w:pos="4140" w:leader="none"/>
          <w:tab w:val="left" w:pos="4320" w:leader="none"/>
        </w:tabs>
        <w:ind w:hanging="2160" w:start="2160" w:end="0"/>
        <w:jc w:val="both"/>
        <w:rPr/>
      </w:pPr>
      <w:r>
        <w:rPr>
          <w:sz w:val="20"/>
        </w:rPr>
        <w:t>Jeff Skilling, President/COO (if new product)</w:t>
        <w:tab/>
        <w:t xml:space="preserve">_______________________________        </w:t>
      </w:r>
      <w:r>
        <w:rPr>
          <w:rFonts w:cs="Times New Roman" w:ascii="Times New Roman" w:hAnsi="Times New Roman"/>
          <w:sz w:val="22"/>
        </w:rPr>
        <w:t xml:space="preserve">       _____________</w:t>
      </w:r>
    </w:p>
    <w:sectPr>
      <w:headerReference w:type="default" r:id="rId2"/>
      <w:headerReference w:type="first" r:id="rId3"/>
      <w:footerReference w:type="default" r:id="rId4"/>
      <w:footerReference w:type="first" r:id="rId5"/>
      <w:type w:val="nextPage"/>
      <w:pgSz w:w="12240" w:h="15840"/>
      <w:pgMar w:left="720" w:right="720" w:gutter="0" w:header="720" w:top="776" w:footer="360" w:bottom="90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Genev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object w:dxaOrig="1397" w:dyaOrig="138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21.6pt;margin-top:-735.65pt;width:69.85pt;height:69.1pt;mso-wrap-distance-left:9.05pt;mso-wrap-distance-right:9.05pt;mso-position-horizontal-relative:text;mso-position-vertical-relative:text" filled="f" o:ole="">
          <v:imagedata r:id="rId2" o:title=""/>
        </v:shape>
        <o:OLEObject Type="Embed" ProgID="" ShapeID="ole_rId1" DrawAspect="Content" ObjectID="_895557825" r:id="rId1"/>
      </w:object>
    </w: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ab/>
      <w:t xml:space="preserve">             Page </w:t>
    </w:r>
    <w:r>
      <w:rPr>
        <w:sz w:val="20"/>
      </w:rPr>
      <w:fldChar w:fldCharType="begin"/>
    </w:r>
    <w:r>
      <w:rPr>
        <w:sz w:val="20"/>
      </w:rPr>
      <w:instrText xml:space="preserve"> PAGE </w:instrText>
    </w:r>
    <w:r>
      <w:rPr>
        <w:sz w:val="20"/>
      </w:rPr>
      <w:fldChar w:fldCharType="separate"/>
    </w:r>
    <w:r>
      <w:rPr>
        <w:sz w:val="20"/>
      </w:rPr>
      <w:t>4</w:t>
    </w:r>
    <w:r>
      <w:rPr>
        <w:sz w:val="20"/>
      </w:rPr>
      <w:fldChar w:fldCharType="end"/>
    </w:r>
  </w:p>
  <w:p>
    <w:pPr>
      <w:pStyle w:val="BodyTextIndent3"/>
      <w:jc w:val="end"/>
      <w:rPr/>
    </w:pPr>
    <w:r>
      <w:rPr/>
      <w:t>Proprietary and Confidential</w:t>
    </w:r>
  </w:p>
  <w:p>
    <w:pPr>
      <w:pStyle w:val="Header"/>
      <w:rPr>
        <w:sz w:val="20"/>
      </w:rPr>
    </w:pPr>
    <w:r>
      <w:rPr>
        <w:sz w:val="20"/>
      </w:rPr>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2">
              <wp:simplePos x="0" y="0"/>
              <wp:positionH relativeFrom="page">
                <wp:posOffset>2615565</wp:posOffset>
              </wp:positionH>
              <wp:positionV relativeFrom="paragraph">
                <wp:posOffset>-189865</wp:posOffset>
              </wp:positionV>
              <wp:extent cx="3877310" cy="93726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937260"/>
                      </a:xfrm>
                      <a:prstGeom prst="rect"/>
                      <a:solidFill>
                        <a:srgbClr val="FFFFFF">
                          <a:alpha val="0"/>
                        </a:srgbClr>
                      </a:solidFill>
                    </wps:spPr>
                    <wps:txbx>
                      <w:txbxContent>
                        <w:p>
                          <w:pPr>
                            <w:pStyle w:val="Normal"/>
                            <w:ind w:start="3600" w:end="0"/>
                            <w:rPr>
                              <w:b/>
                              <w:sz w:val="32"/>
                            </w:rPr>
                          </w:pPr>
                          <w:r>
                            <w:rPr>
                              <w:b/>
                              <w:sz w:val="32"/>
                            </w:rPr>
                            <w:t>Interoffice</w:t>
                          </w:r>
                        </w:p>
                        <w:p>
                          <w:pPr>
                            <w:pStyle w:val="Normal"/>
                            <w:ind w:start="3600" w:end="0"/>
                            <w:rPr>
                              <w:b/>
                              <w:sz w:val="32"/>
                            </w:rPr>
                          </w:pPr>
                          <w:r>
                            <w:rPr>
                              <w:b/>
                              <w:sz w:val="32"/>
                            </w:rPr>
                            <w:t>Memorandum</w:t>
                          </w:r>
                          <w:r>
                            <w:rPr>
                              <w:b/>
                              <w:sz w:val="32"/>
                            </w:rPr>
                            <w:t>Proprietary and Confidential</w:t>
                          </w:r>
                        </w:p>
                      </w:txbxContent>
                    </wps:txbx>
                    <wps:bodyPr anchor="t" lIns="0" tIns="0" rIns="0" bIns="0">
                      <a:noAutofit/>
                    </wps:bodyPr>
                  </wps:wsp>
                </a:graphicData>
              </a:graphic>
            </wp:anchor>
          </w:drawing>
        </mc:Choice>
        <mc:Fallback>
          <w:pict>
            <v:rect fillcolor="#FFFFFF" style="position:absolute;rotation:-0;width:305.3pt;height:73.8pt;mso-wrap-distance-left:9.35pt;mso-wrap-distance-right:9.35pt;mso-wrap-distance-top:0pt;mso-wrap-distance-bottom:0pt;margin-top:-14.95pt;mso-position-vertical-relative:text;margin-left:205.95pt;mso-position-horizontal-relative:page">
              <v:fill opacity="0f"/>
              <v:textbox inset="0in,0in,0in,0in">
                <w:txbxContent>
                  <w:p>
                    <w:pPr>
                      <w:pStyle w:val="Normal"/>
                      <w:ind w:start="3600" w:end="0"/>
                      <w:rPr>
                        <w:b/>
                        <w:sz w:val="32"/>
                      </w:rPr>
                    </w:pPr>
                    <w:r>
                      <w:rPr>
                        <w:b/>
                        <w:sz w:val="32"/>
                      </w:rPr>
                      <w:t>Interoffice</w:t>
                    </w:r>
                  </w:p>
                  <w:p>
                    <w:pPr>
                      <w:pStyle w:val="Normal"/>
                      <w:ind w:start="3600" w:end="0"/>
                      <w:rPr>
                        <w:b/>
                        <w:sz w:val="32"/>
                      </w:rPr>
                    </w:pPr>
                    <w:r>
                      <w:rPr>
                        <w:b/>
                        <w:sz w:val="32"/>
                      </w:rPr>
                      <w:t>Memorandum</w:t>
                    </w:r>
                    <w:r>
                      <w:rPr>
                        <w:b/>
                        <w:sz w:val="32"/>
                      </w:rPr>
                      <w:t>Proprietary and Confidential</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sz w:val="20"/>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i/>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tabs>
        <w:tab w:val="left" w:pos="540" w:leader="none"/>
        <w:tab w:val="left" w:pos="2520" w:leader="none"/>
      </w:tabs>
      <w:ind w:hanging="2160" w:start="2160" w:end="0"/>
      <w:jc w:val="both"/>
      <w:outlineLvl w:val="4"/>
    </w:pPr>
    <w:rPr>
      <w:rFonts w:ascii="Times New Roman" w:hAnsi="Times New Roman" w:cs="Times New Roman"/>
      <w:b/>
      <w:sz w:val="22"/>
    </w:rPr>
  </w:style>
  <w:style w:type="paragraph" w:styleId="Heading6">
    <w:name w:val="heading 6"/>
    <w:basedOn w:val="Normal"/>
    <w:next w:val="Normal"/>
    <w:qFormat/>
    <w:pPr>
      <w:keepNext w:val="true"/>
      <w:numPr>
        <w:ilvl w:val="5"/>
        <w:numId w:val="1"/>
      </w:numPr>
      <w:tabs>
        <w:tab w:val="left" w:pos="540" w:leader="none"/>
        <w:tab w:val="left" w:pos="4320" w:leader="none"/>
      </w:tabs>
      <w:ind w:hanging="2160" w:start="2160" w:end="0"/>
      <w:jc w:val="center"/>
      <w:outlineLvl w:val="5"/>
    </w:pPr>
    <w:rPr>
      <w:rFonts w:ascii="Times New Roman" w:hAnsi="Times New Roman" w:cs="Times New Roman"/>
      <w:b/>
      <w:sz w:val="22"/>
      <w:u w:val="single"/>
    </w:rPr>
  </w:style>
  <w:style w:type="paragraph" w:styleId="Heading7">
    <w:name w:val="heading 7"/>
    <w:basedOn w:val="Normal"/>
    <w:next w:val="Normal"/>
    <w:qFormat/>
    <w:pPr>
      <w:keepNext w:val="true"/>
      <w:numPr>
        <w:ilvl w:val="6"/>
        <w:numId w:val="1"/>
      </w:numPr>
      <w:jc w:val="both"/>
      <w:outlineLvl w:val="6"/>
    </w:pPr>
    <w:rPr>
      <w:rFonts w:ascii="Times New Roman" w:hAnsi="Times New Roman" w:cs="Times New Roman"/>
      <w:b/>
      <w:sz w:val="22"/>
      <w:u w:val="single"/>
    </w:rPr>
  </w:style>
  <w:style w:type="paragraph" w:styleId="Heading8">
    <w:name w:val="heading 8"/>
    <w:basedOn w:val="Normal"/>
    <w:next w:val="Normal"/>
    <w:qFormat/>
    <w:pPr>
      <w:keepNext w:val="true"/>
      <w:numPr>
        <w:ilvl w:val="7"/>
        <w:numId w:val="1"/>
      </w:numPr>
      <w:outlineLvl w:val="7"/>
    </w:pPr>
    <w:rPr>
      <w:b/>
      <w:i/>
      <w:sz w:val="2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 w:val="left" w:pos="0" w:leader="none"/>
      </w:tabs>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hanging="720" w:start="720" w:end="0"/>
    </w:pPr>
    <w:rPr>
      <w:rFonts w:ascii="Times New Roman" w:hAnsi="Times New Roman" w:cs="Times New Roman"/>
      <w:sz w:val="20"/>
    </w:rPr>
  </w:style>
  <w:style w:type="paragraph" w:styleId="BodyTextIndent2">
    <w:name w:val="Body Text Indent 2"/>
    <w:basedOn w:val="Normal"/>
    <w:qFormat/>
    <w:pPr>
      <w:ind w:hanging="0" w:start="720" w:end="0"/>
    </w:pPr>
    <w:rPr>
      <w:sz w:val="20"/>
    </w:rPr>
  </w:style>
  <w:style w:type="paragraph" w:styleId="BodyTextIndent3">
    <w:name w:val="Body Text Indent 3"/>
    <w:basedOn w:val="Normal"/>
    <w:qFormat/>
    <w:pPr>
      <w:ind w:hanging="0" w:start="3600" w:end="0"/>
      <w:jc w:val="center"/>
    </w:pPr>
    <w:rPr>
      <w:b/>
      <w:color w:val="FF0000"/>
      <w:sz w:val="20"/>
    </w:rPr>
  </w:style>
  <w:style w:type="paragraph" w:styleId="NormalWeb">
    <w:name w:val="Normal (Web)"/>
    <w:basedOn w:val="Normal"/>
    <w:qFormat/>
    <w:pPr>
      <w:tabs>
        <w:tab w:val="clear" w:pos="540"/>
      </w:tabs>
      <w:spacing w:before="100" w:after="100"/>
    </w:pPr>
    <w:rPr>
      <w:rFonts w:ascii="Geneva;Arial" w:hAnsi="Geneva;Arial" w:eastAsia="Arial Unicode MS" w:cs="Geneva;Arial"/>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646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2001-07-31T19:28:00Z</dcterms:created>
  <dc:creator>Jeff Ford</dc:creator>
  <dc:description/>
  <dc:language>en-CA</dc:language>
  <cp:lastModifiedBy>Frank Karbarz</cp:lastModifiedBy>
  <cp:lastPrinted>2001-08-22T16:03:00Z</cp:lastPrinted>
  <dcterms:modified xsi:type="dcterms:W3CDTF">2001-08-22T18:33:00Z</dcterms:modified>
  <cp:revision>7</cp:revision>
  <dc:subject/>
  <dc:title>Eron Capital &amp; Trade Resources Memo</dc:title>
</cp:coreProperties>
</file>