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360" w:before="240" w:after="60"/>
        <w:ind w:hanging="0" w:start="0"/>
        <w:rPr>
          <w:sz w:val="28"/>
        </w:rPr>
      </w:pPr>
      <w:r>
        <w:rPr>
          <w:sz w:val="28"/>
        </w:rPr>
        <w:t>On behalf of Transwestern Pipeline, I’d like to thank the Commission for this opportunity to offer Transwestern’s comments and perspective on such an important decision.  Since its inauguration in the early 1960’s, Transwestern has been an important source of natural gas supply for consumers in California, supplying approximately 1/5 of the state’s average annual natural gas consumption.  Moreover, Transwestern has been an active participate in this current proceeding and is keenly interested in its outcome.</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Since the Commission’s issuance of the proposed decision, California has experienced record setting demand on its electric and gas infrastructure.  It is clear to those with a history of serving California that California's natural gas infrastructure will require pipeline capacity additions to meet the challenges of load growth, resulting primarily from the growth in gas-fired electric generation.  But capacity additions are only half the story.  The efficacy of pipeline enhancements to reliably meet the long-term gas needs of Californians depends on a fully functioning market on BOTH sides of the California border.  The record in this case is compelling.  It is replete with examples of the difficulties suppliers have traditionally faced in attempting to supply gas to customers in California.  Transwestern believes that an energy policy that focuses on the adequacy of pipeline capacity while paying short shift to the imperative of meaningful regulatory reform is doomed to fail.</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Transwestern respectfully submits that approval of the Proposed Decision does NOT adequately address the needs of market participants; it does NOT create an environment of supply CERTAINTY where both suppliers and California customers can construct reliable, long-term commitments.  Transwestern, along with a MAJORITY of stakeholders in this proceeding, agree that the Comprehensive Settlement is the only viable alternative that meets the long-term energy needs of Californians.</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The Proposed Decision only modifies the SoCal Gas methodology for accepting nominations for outside suppliers into its own LDC system, known as the “windowing process.”   By contrast, the Comprehensive Settlement replaces this highly contestable and challenged process, with a system that offers DEFINABLE firm rights into the SoCal system and in a manner that assures reliable market deliveries.  In addition, the Comprehensive Settlement adopts a well conceived methodology of assigning firm PRIMARY and firm SECONDARY rights to utility customers, thereby empowering these customers to shift or “flex” their capacity rights, even on a daily basis, to take full advantage of changing market conditions, including supply PRICE.</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From the beginning, this Commission delineated its goals for this proceeding and gave the stakeholders a roadmap to its successful outcome through its “PROMISING OPTIONS.” Chief among these goals was, and I quote, "To ensure that natural gas service is safe and RELIABLE."   Transwestern submits to you that the key to RELIABLE gas service is CERTAINTY; certainty in the form of a carefully planned, long term upstream gas supply that can be delivered to the market EVERYDAY at FULL contract volume.   The Proposed Decision simply does not provide this required level of certainty.  Approval of the Proposed Decision would continue a system of ambiguity and pro-rationing on the SoCal Gas system. The Comprehensive Settlement provides the ONLY operational platform that guarantees both the suppliers AND the market the level of certainty that is required; that natural gas supply flowing from a variety of U.S. and Canada supply basins can efficiently reach the California burner tip everyday.</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Transwestern is among a number of interstate pipeline companies working with California utilities, their customers and this Commission to bring on additional capacity to meet California's growing natural gas needs.  We expect that these recent pipeline expansion announcements are encouraging to the state.  However, as I said before, HOW these new supplies ultimately reach their destination in California is of equal importance.  In this regard, the Proposed Decision gives little, if any guidance.  By contrast, the Comprehensive Settlement gives CLEAR guidance on how new supply will be scheduled into the California utilities’ systems.</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The Comprehensive Settlement encourages new supply sources by contemplating and planning for their ultimate CONNECTION to the utility system.  Equally important, the Comprehensive Settlement makes provisions for this new supply without unnecessarily jeopardizing existing supply arrangements.  The Proposed Decision leaves all participants, suppliers, as well as consumers, GUESSING as to the certainty of their existing supply arrangements.  I want to be clear here, the Comprehensive Settlement is in no way a stratagem for protecting the “status quo” for existing pipelines.  Rather, it is a workable, RATIONAL platform that offers a prescription for orderly and robust supply growth; encouraging new investment while safeguarding the interests of California’s long-standing energy partners.</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 xml:space="preserve">In conclusion, Transwestern requests that the Commission reject the Proposed Decision and approve the Comprehensive Settlement.  In an UNPRECEDENTED show of solidarity, over twenty-five highly diverse stakeholders, ranging from the incumbent utility, to interstate pipelines, producers, electric generators, and even the Commission’s own Division of Ratepayer Advocates, signed on in support the Comprehensive Settlement.  The unbundling of intrastate transmission and the rational protocol that establishes shipper rights on the utility system is one of the key elements in this settlement.   The Comprehensive Settlement ALONE meets demanding criteria of the most promising options that this Commission used to challenge all stakeholders in California’s energy marketplace.   </w:t>
      </w:r>
    </w:p>
    <w:p>
      <w:pPr>
        <w:pStyle w:val="Heading3"/>
        <w:spacing w:lineRule="auto" w:line="360"/>
        <w:ind w:hanging="0" w:start="0"/>
        <w:rPr>
          <w:sz w:val="28"/>
        </w:rPr>
      </w:pPr>
      <w:r>
        <w:rPr>
          <w:sz w:val="28"/>
        </w:rPr>
      </w:r>
    </w:p>
    <w:p>
      <w:pPr>
        <w:pStyle w:val="Heading3"/>
        <w:spacing w:lineRule="auto" w:line="360"/>
        <w:ind w:hanging="0" w:start="0"/>
        <w:rPr>
          <w:sz w:val="28"/>
        </w:rPr>
      </w:pPr>
      <w:r>
        <w:rPr>
          <w:sz w:val="28"/>
        </w:rPr>
        <w:t xml:space="preserve">I thank you for your time, and for the opportunity to speak on behalf of Transwestern today.  </w:t>
      </w:r>
    </w:p>
    <w:p>
      <w:pPr>
        <w:pStyle w:val="Heading3"/>
        <w:spacing w:lineRule="auto" w:line="360" w:before="240" w:after="60"/>
        <w:ind w:hanging="0" w:start="0"/>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2001-05-18T19:07:00Z</dcterms:created>
  <dc:creator>jfawcet</dc:creator>
  <dc:description/>
  <dc:language>en-CA</dc:language>
  <cp:lastModifiedBy>jfawcet</cp:lastModifiedBy>
  <cp:lastPrinted>2001-05-18T15:45:00Z</cp:lastPrinted>
  <dcterms:modified xsi:type="dcterms:W3CDTF">2001-05-18T19:07:00Z</dcterms:modified>
  <cp:revision>2</cp:revision>
  <dc:subject/>
  <dc:title>On behalf of Transwestern Pipeline, TW welcomes this opportunityI’d like to thank the Commission for this opportunity to offer</dc:title>
</cp:coreProperties>
</file>