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2.xml.rels" ContentType="application/vnd.openxmlformats-package.relationships+xml"/>
  <Override PartName="/word/header6.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color w:val="000000"/>
        </w:rPr>
      </w:pPr>
      <w:r>
        <w:rPr>
          <w:color w:val="000000"/>
        </w:rPr>
        <w:t>November 13, 2001</w:t>
      </w:r>
    </w:p>
    <w:p>
      <w:pPr>
        <w:pStyle w:val="Normal"/>
        <w:tabs>
          <w:tab w:val="clear" w:pos="720"/>
          <w:tab w:val="left" w:pos="5310" w:leader="none"/>
        </w:tabs>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t>David P. Boergers</w:t>
      </w:r>
    </w:p>
    <w:p>
      <w:pPr>
        <w:pStyle w:val="Normal"/>
        <w:rPr>
          <w:color w:val="000000"/>
        </w:rPr>
      </w:pPr>
      <w:r>
        <w:rPr>
          <w:color w:val="000000"/>
        </w:rPr>
        <w:t>Office of the Secretary</w:t>
      </w:r>
    </w:p>
    <w:p>
      <w:pPr>
        <w:pStyle w:val="Normal"/>
        <w:rPr>
          <w:color w:val="000000"/>
        </w:rPr>
      </w:pPr>
      <w:r>
        <w:rPr>
          <w:color w:val="000000"/>
        </w:rPr>
        <w:t>Docket Room</w:t>
      </w:r>
    </w:p>
    <w:p>
      <w:pPr>
        <w:pStyle w:val="Normal"/>
        <w:rPr>
          <w:color w:val="000000"/>
        </w:rPr>
      </w:pPr>
      <w:r>
        <w:rPr>
          <w:color w:val="000000"/>
        </w:rPr>
        <w:t>Federal Energy Regulatory Commission</w:t>
      </w:r>
    </w:p>
    <w:p>
      <w:pPr>
        <w:pStyle w:val="Normal"/>
        <w:rPr>
          <w:color w:val="000000"/>
        </w:rPr>
      </w:pPr>
      <w:r>
        <w:rPr>
          <w:color w:val="000000"/>
        </w:rPr>
        <w:t>888 First Street, N.E., Room 1A, East</w:t>
      </w:r>
    </w:p>
    <w:p>
      <w:pPr>
        <w:pStyle w:val="Normal"/>
        <w:rPr>
          <w:color w:val="000000"/>
        </w:rPr>
      </w:pPr>
      <w:r>
        <w:rPr>
          <w:color w:val="000000"/>
        </w:rPr>
        <w:t>Washington, D.C.  20002</w:t>
      </w:r>
    </w:p>
    <w:p>
      <w:pPr>
        <w:pStyle w:val="Footer"/>
        <w:tabs>
          <w:tab w:val="clear" w:pos="4320"/>
          <w:tab w:val="clear" w:pos="8640"/>
        </w:tabs>
        <w:rPr>
          <w:color w:val="000000"/>
        </w:rPr>
      </w:pPr>
      <w:r>
        <w:rPr>
          <w:color w:val="000000"/>
        </w:rPr>
      </w:r>
    </w:p>
    <w:p>
      <w:pPr>
        <w:pStyle w:val="Normal"/>
        <w:rPr>
          <w:color w:val="000000"/>
        </w:rPr>
      </w:pPr>
      <w:r>
        <w:rPr>
          <w:color w:val="000000"/>
        </w:rPr>
      </w:r>
    </w:p>
    <w:p>
      <w:pPr>
        <w:pStyle w:val="Normal"/>
        <w:ind w:start="432" w:end="0"/>
        <w:rPr/>
      </w:pPr>
      <w:r>
        <w:rPr>
          <w:color w:val="000000"/>
        </w:rPr>
        <w:t>Re:</w:t>
      </w:r>
      <w:r>
        <w:rPr/>
        <w:tab/>
      </w:r>
      <w:r>
        <w:rPr>
          <w:u w:val="single"/>
        </w:rPr>
        <w:t>Transwestern Pipeline Company</w:t>
      </w:r>
      <w:r>
        <w:rPr>
          <w:color w:val="000000"/>
        </w:rPr>
        <w:t>, Docket No. RP97-288-017</w:t>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t>Dear Mr. Boergers:</w:t>
      </w:r>
    </w:p>
    <w:p>
      <w:pPr>
        <w:pStyle w:val="Normal"/>
        <w:rPr>
          <w:color w:val="000000"/>
        </w:rPr>
      </w:pPr>
      <w:r>
        <w:rPr>
          <w:color w:val="000000"/>
        </w:rPr>
      </w:r>
    </w:p>
    <w:p>
      <w:pPr>
        <w:pStyle w:val="Normal"/>
        <w:rPr/>
      </w:pPr>
      <w:r>
        <w:rPr>
          <w:color w:val="000000"/>
        </w:rPr>
        <w:t xml:space="preserve">Enclosed for filing in the above-docketed case, please find an electronic filing of a document entitled </w:t>
      </w:r>
      <w:r>
        <w:rPr>
          <w:b/>
          <w:color w:val="000000"/>
        </w:rPr>
        <w:t xml:space="preserve">“PROTEST, </w:t>
      </w:r>
      <w:r>
        <w:rPr>
          <w:b/>
        </w:rPr>
        <w:t>NOTICE OF INTERVENTION, AND REQUEST FOR TECHNICAL CONFERENCE AND/OR HEARING OF THE PUBLIC UTILITIES COMMISSION OF THE STATE OF CALIFORNIA</w:t>
      </w:r>
      <w:r>
        <w:rPr>
          <w:b/>
          <w:color w:val="000000"/>
        </w:rPr>
        <w:t>.”</w:t>
      </w:r>
    </w:p>
    <w:p>
      <w:pPr>
        <w:pStyle w:val="Normal"/>
        <w:rPr>
          <w:b/>
          <w:color w:val="000000"/>
        </w:rPr>
      </w:pPr>
      <w:r>
        <w:rPr>
          <w:b/>
          <w:color w:val="000000"/>
        </w:rPr>
      </w:r>
    </w:p>
    <w:p>
      <w:pPr>
        <w:pStyle w:val="Normal"/>
        <w:rPr>
          <w:color w:val="000000"/>
        </w:rPr>
      </w:pPr>
      <w:r>
        <w:rPr>
          <w:color w:val="000000"/>
        </w:rPr>
        <w:t>Thank you for your cooperation in this matter.</w:t>
      </w:r>
    </w:p>
    <w:p>
      <w:pPr>
        <w:pStyle w:val="Normal"/>
        <w:rPr>
          <w:color w:val="000000"/>
        </w:rPr>
      </w:pPr>
      <w:r>
        <w:rPr>
          <w:color w:val="000000"/>
        </w:rPr>
      </w:r>
    </w:p>
    <w:p>
      <w:pPr>
        <w:pStyle w:val="Normal"/>
        <w:rPr>
          <w:color w:val="000000"/>
        </w:rPr>
      </w:pPr>
      <w:r>
        <w:rPr>
          <w:color w:val="000000"/>
        </w:rPr>
        <w:t>Sincerely,</w:t>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t xml:space="preserve">/s/  </w:t>
        <w:tab/>
        <w:t>IDA PASSAMONTI</w:t>
      </w:r>
    </w:p>
    <w:p>
      <w:pPr>
        <w:pStyle w:val="Normal"/>
        <w:rPr/>
      </w:pPr>
      <w:r>
        <w:rPr>
          <w:color w:val="000000"/>
        </w:rPr>
        <w:tab/>
      </w:r>
      <w:r>
        <w:rPr>
          <w:color w:val="000000"/>
          <w:u w:val="single"/>
        </w:rPr>
        <w:tab/>
        <w:tab/>
        <w:tab/>
      </w:r>
    </w:p>
    <w:p>
      <w:pPr>
        <w:pStyle w:val="Normal"/>
        <w:ind w:firstLine="720" w:end="0"/>
        <w:rPr>
          <w:color w:val="000000"/>
        </w:rPr>
      </w:pPr>
      <w:r>
        <w:rPr>
          <w:color w:val="000000"/>
        </w:rPr>
        <w:t>Ida Passamonti</w:t>
      </w:r>
    </w:p>
    <w:p>
      <w:pPr>
        <w:pStyle w:val="Normal"/>
        <w:ind w:firstLine="720" w:end="0"/>
        <w:rPr>
          <w:color w:val="000000"/>
        </w:rPr>
      </w:pPr>
      <w:r>
        <w:rPr>
          <w:color w:val="000000"/>
        </w:rPr>
        <w:t>Staff Counsel</w:t>
      </w:r>
    </w:p>
    <w:p>
      <w:pPr>
        <w:pStyle w:val="Normal"/>
        <w:rPr>
          <w:color w:val="000000"/>
        </w:rPr>
      </w:pPr>
      <w:r>
        <w:rPr>
          <w:color w:val="000000"/>
        </w:rPr>
      </w:r>
    </w:p>
    <w:p>
      <w:pPr>
        <w:pStyle w:val="Normal"/>
        <w:rPr>
          <w:color w:val="000000"/>
        </w:rPr>
      </w:pPr>
      <w:r>
        <w:rPr>
          <w:color w:val="000000"/>
        </w:rPr>
        <w:t>IMP:nas</w:t>
      </w:r>
    </w:p>
    <w:p>
      <w:pPr>
        <w:pStyle w:val="Normal"/>
        <w:rPr>
          <w:color w:val="000000"/>
        </w:rPr>
      </w:pPr>
      <w:r>
        <w:rPr>
          <w:color w:val="000000"/>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rPr>
          <w:color w:val="000000"/>
        </w:rPr>
      </w:pPr>
      <w:r>
        <w:rPr>
          <w:color w:val="000000"/>
        </w:rPr>
        <w:t>Enclosure</w:t>
      </w:r>
    </w:p>
    <w:p>
      <w:pPr>
        <w:pStyle w:val="Normal"/>
        <w:tabs>
          <w:tab w:val="clear" w:pos="720"/>
          <w:tab w:val="left" w:pos="9270" w:leader="none"/>
        </w:tabs>
        <w:jc w:val="center"/>
        <w:rPr/>
      </w:pPr>
      <w:r>
        <w:rPr>
          <w:smallCaps/>
          <w:sz w:val="28"/>
        </w:rPr>
        <w:t>UNITED</w:t>
      </w:r>
      <w:r>
        <w:rPr>
          <w:sz w:val="28"/>
        </w:rPr>
        <w:t xml:space="preserve"> </w:t>
      </w:r>
      <w:r>
        <w:rPr>
          <w:smallCaps/>
          <w:sz w:val="28"/>
        </w:rPr>
        <w:t>STATES</w:t>
      </w:r>
      <w:r>
        <w:rPr>
          <w:sz w:val="28"/>
        </w:rPr>
        <w:t xml:space="preserve"> OF AMERICA</w:t>
      </w:r>
    </w:p>
    <w:p>
      <w:pPr>
        <w:pStyle w:val="Normal"/>
        <w:jc w:val="center"/>
        <w:rPr>
          <w:smallCaps/>
          <w:sz w:val="28"/>
        </w:rPr>
      </w:pPr>
      <w:r>
        <w:rPr>
          <w:smallCaps/>
          <w:sz w:val="28"/>
        </w:rPr>
        <w:t xml:space="preserve">BEFORE THE </w:t>
      </w:r>
    </w:p>
    <w:p>
      <w:pPr>
        <w:pStyle w:val="Normal"/>
        <w:jc w:val="center"/>
        <w:rPr>
          <w:smallCaps/>
        </w:rPr>
      </w:pPr>
      <w:r>
        <w:rPr>
          <w:smallCaps/>
          <w:sz w:val="28"/>
        </w:rPr>
        <w:t>FEDERAL ENERGY REGULATORY COMMISSION</w:t>
      </w:r>
    </w:p>
    <w:p>
      <w:pPr>
        <w:pStyle w:val="Normal"/>
        <w:spacing w:before="0" w:after="120"/>
        <w:rPr>
          <w:smallCaps/>
        </w:rPr>
      </w:pPr>
      <w:r>
        <w:rPr>
          <w:smallCaps/>
        </w:rPr>
      </w:r>
    </w:p>
    <w:p>
      <w:pPr>
        <w:pStyle w:val="Normal"/>
        <w:spacing w:before="0" w:after="120"/>
        <w:rPr>
          <w:smallCaps/>
        </w:rPr>
      </w:pPr>
      <w:r>
        <w:rPr>
          <w:smallCaps/>
        </w:rPr>
      </w:r>
    </w:p>
    <w:tbl>
      <w:tblPr>
        <w:tblW w:w="8496" w:type="dxa"/>
        <w:jc w:val="start"/>
        <w:tblInd w:w="0" w:type="dxa"/>
        <w:tblLayout w:type="fixed"/>
        <w:tblCellMar>
          <w:top w:w="0" w:type="dxa"/>
          <w:start w:w="108" w:type="dxa"/>
          <w:bottom w:w="0" w:type="dxa"/>
          <w:end w:w="108" w:type="dxa"/>
        </w:tblCellMar>
      </w:tblPr>
      <w:tblGrid>
        <w:gridCol w:w="4428"/>
        <w:gridCol w:w="4068"/>
      </w:tblGrid>
      <w:tr>
        <w:trPr/>
        <w:tc>
          <w:tcPr>
            <w:tcW w:w="4428" w:type="dxa"/>
            <w:tcBorders>
              <w:end w:val="single" w:sz="6" w:space="0" w:color="000000"/>
            </w:tcBorders>
          </w:tcPr>
          <w:p>
            <w:pPr>
              <w:pStyle w:val="Caption"/>
              <w:snapToGrid w:val="false"/>
              <w:rPr/>
            </w:pPr>
            <w:r>
              <w:rPr/>
            </w:r>
          </w:p>
          <w:p>
            <w:pPr>
              <w:pStyle w:val="Caption"/>
              <w:rPr/>
            </w:pPr>
            <w:r>
              <w:rPr/>
            </w:r>
          </w:p>
          <w:p>
            <w:pPr>
              <w:pStyle w:val="Caption"/>
              <w:rPr/>
            </w:pPr>
            <w:r>
              <w:rPr/>
            </w:r>
          </w:p>
          <w:p>
            <w:pPr>
              <w:pStyle w:val="Caption"/>
              <w:rPr/>
            </w:pPr>
            <w:r>
              <w:rPr/>
              <w:t>TRANSWESTERN PIPELINE COMPANY</w:t>
            </w:r>
          </w:p>
        </w:tc>
        <w:tc>
          <w:tcPr>
            <w:tcW w:w="4068" w:type="dxa"/>
            <w:tcBorders/>
          </w:tcPr>
          <w:p>
            <w:pPr>
              <w:pStyle w:val="Caption"/>
              <w:snapToGrid w:val="false"/>
              <w:ind w:firstLine="612" w:end="0"/>
              <w:rPr/>
            </w:pPr>
            <w:r>
              <w:rPr/>
            </w:r>
          </w:p>
          <w:p>
            <w:pPr>
              <w:pStyle w:val="Caption"/>
              <w:ind w:firstLine="612" w:end="0"/>
              <w:rPr/>
            </w:pPr>
            <w:r>
              <w:rPr/>
            </w:r>
          </w:p>
          <w:p>
            <w:pPr>
              <w:pStyle w:val="Caption"/>
              <w:ind w:firstLine="612" w:end="0"/>
              <w:rPr/>
            </w:pPr>
            <w:r>
              <w:rPr/>
            </w:r>
          </w:p>
          <w:p>
            <w:pPr>
              <w:pStyle w:val="Caption"/>
              <w:rPr/>
            </w:pPr>
            <w:r>
              <w:rPr/>
              <w:t>Docket No. RP97-288-017</w:t>
            </w:r>
          </w:p>
        </w:tc>
      </w:tr>
      <w:tr>
        <w:trPr/>
        <w:tc>
          <w:tcPr>
            <w:tcW w:w="4428" w:type="dxa"/>
            <w:tcBorders>
              <w:bottom w:val="single" w:sz="6" w:space="0" w:color="000000"/>
              <w:end w:val="single" w:sz="6" w:space="0" w:color="000000"/>
            </w:tcBorders>
          </w:tcPr>
          <w:p>
            <w:pPr>
              <w:pStyle w:val="Caption"/>
              <w:snapToGrid w:val="false"/>
              <w:rPr/>
            </w:pPr>
            <w:r>
              <w:rPr/>
            </w:r>
          </w:p>
        </w:tc>
        <w:tc>
          <w:tcPr>
            <w:tcW w:w="4068" w:type="dxa"/>
            <w:tcBorders/>
          </w:tcPr>
          <w:p>
            <w:pPr>
              <w:pStyle w:val="Caption"/>
              <w:snapToGrid w:val="false"/>
              <w:rPr/>
            </w:pPr>
            <w:r>
              <w:rPr/>
            </w:r>
          </w:p>
        </w:tc>
      </w:tr>
    </w:tbl>
    <w:p>
      <w:pPr>
        <w:pStyle w:val="Footer"/>
        <w:tabs>
          <w:tab w:val="clear" w:pos="4320"/>
          <w:tab w:val="clear" w:pos="8640"/>
        </w:tabs>
        <w:spacing w:before="0" w:after="120"/>
        <w:rPr/>
      </w:pPr>
      <w:r>
        <w:rPr/>
      </w:r>
    </w:p>
    <w:p>
      <w:pPr>
        <w:pStyle w:val="Footer"/>
        <w:tabs>
          <w:tab w:val="clear" w:pos="4320"/>
          <w:tab w:val="clear" w:pos="8640"/>
        </w:tabs>
        <w:spacing w:before="0" w:after="120"/>
        <w:rPr/>
      </w:pPr>
      <w:r>
        <w:rPr/>
      </w:r>
    </w:p>
    <w:p>
      <w:pPr>
        <w:pStyle w:val="BriefTitle"/>
        <w:rPr/>
      </w:pPr>
      <w:r>
        <w:rPr/>
        <w:t xml:space="preserve">PROTEST, NOTICE OF INTERVENTION, </w:t>
      </w:r>
    </w:p>
    <w:p>
      <w:pPr>
        <w:pStyle w:val="BriefTitle"/>
        <w:rPr/>
      </w:pPr>
      <w:r>
        <w:rPr/>
        <w:t>AND REQUEST FOR TECHNICAL CONFERENCE</w:t>
      </w:r>
    </w:p>
    <w:p>
      <w:pPr>
        <w:pStyle w:val="BriefTitle"/>
        <w:rPr/>
      </w:pPr>
      <w:r>
        <w:rPr/>
        <w:t xml:space="preserve"> </w:t>
      </w:r>
      <w:r>
        <w:rPr/>
        <w:t xml:space="preserve">AND/OR HEARING OF </w:t>
      </w:r>
    </w:p>
    <w:p>
      <w:pPr>
        <w:pStyle w:val="BriefTitle"/>
        <w:rPr/>
      </w:pPr>
      <w:r>
        <w:rPr/>
        <w:t xml:space="preserve">THE PUBLIC UTILITIES COMMISSION </w:t>
      </w:r>
    </w:p>
    <w:p>
      <w:pPr>
        <w:pStyle w:val="BriefTitle"/>
        <w:rPr/>
      </w:pPr>
      <w:r>
        <w:rPr/>
        <w:t>OF THE STATE OF CALIFORNIA</w:t>
      </w:r>
    </w:p>
    <w:p>
      <w:pPr>
        <w:pStyle w:val="BodyText"/>
        <w:rPr/>
      </w:pPr>
      <w:r>
        <w:rPr/>
      </w:r>
    </w:p>
    <w:p>
      <w:pPr>
        <w:pStyle w:val="BodyText2"/>
        <w:ind w:end="-270"/>
        <w:rPr/>
      </w:pPr>
      <w:r>
        <w:rPr/>
        <w:t xml:space="preserve">The Public Utilities Commission of the State of California (“CPUC”) hereby gives notice of its intervention in the above-captioned docket and protests the tariff sheets submitted by Transwestern Pipeline Company (“Transwestern”) on October 31, 2001, regarding a negotiated rate agreement with U.S. Gas Transmission, Inc./Aquila LP  (“USGT/Aquila LP”).  The FERC’s notice of Transwestern’s October 31, 2001 filing of the revised tariff sheets was issued November 5, 2001.  </w:t>
      </w:r>
    </w:p>
    <w:p>
      <w:pPr>
        <w:pStyle w:val="BodyText2"/>
        <w:ind w:end="-270"/>
        <w:rPr/>
      </w:pPr>
      <w:r>
        <w:rPr/>
        <w:t xml:space="preserve">The CPUC also requests that a technical conference and/or hearing be established to consider the factual circumstances of the agreement in relation to the regulations and policies of the Federal Energy Regulatory Commission (“FERC”).  The fundamental issue that should be investigated  is whether the maximum recourse rate is in fact functioning as the FERC intended to assure fair and reasonable use of negotiated rates by a pipeline with market power.  </w:t>
      </w:r>
    </w:p>
    <w:p>
      <w:pPr>
        <w:pStyle w:val="BodyText2"/>
        <w:ind w:end="-270"/>
        <w:rPr/>
      </w:pPr>
      <w:r>
        <w:rPr/>
        <w:t xml:space="preserve">This filing is made pursuant to Rules 211 and 214 [18 C.F.R. §§ 385.211, 385.214] and of the Rules of Practice and Procedure of the Federal Energy Regulatory Commission (“FERC”,) and Section 154.210 [18 CFR § 154.210] of the FERC’s Regulations under the Natural Gas Act.  </w:t>
      </w:r>
    </w:p>
    <w:p>
      <w:pPr>
        <w:pStyle w:val="Heading1"/>
        <w:numPr>
          <w:ilvl w:val="0"/>
          <w:numId w:val="2"/>
        </w:numPr>
        <w:rPr>
          <w:rFonts w:ascii="Times New Roman" w:hAnsi="Times New Roman" w:cs="Times New Roman"/>
          <w:sz w:val="28"/>
        </w:rPr>
      </w:pPr>
      <w:r>
        <w:rPr>
          <w:rFonts w:cs="Times New Roman" w:ascii="Times New Roman" w:hAnsi="Times New Roman"/>
          <w:sz w:val="28"/>
        </w:rPr>
        <w:t>BACKGROUND</w:t>
      </w:r>
    </w:p>
    <w:p>
      <w:pPr>
        <w:pStyle w:val="Normal"/>
        <w:rPr>
          <w:rFonts w:ascii="Times New Roman" w:hAnsi="Times New Roman" w:cs="Times New Roman"/>
          <w:sz w:val="28"/>
        </w:rPr>
      </w:pPr>
      <w:r>
        <w:rPr>
          <w:rFonts w:cs="Times New Roman"/>
          <w:sz w:val="28"/>
        </w:rPr>
      </w:r>
    </w:p>
    <w:p>
      <w:pPr>
        <w:pStyle w:val="BodyText2"/>
        <w:ind w:end="-270"/>
        <w:rPr/>
      </w:pPr>
      <w:r>
        <w:rPr/>
        <w:t>Transwestern’s revised tariff sheets were submitted a week after an Initial Decision was issued on October 24, 2001, following an evidentiary hearing concerning other Transwestern negotiated rate contracts. (</w:t>
      </w:r>
      <w:r>
        <w:rPr>
          <w:i/>
        </w:rPr>
        <w:t>Initial Decision</w:t>
      </w:r>
      <w:r>
        <w:rPr/>
        <w:t xml:space="preserve">, 97 FERC ¶ 63,010 (2001) in Docket Nos.  RP97-288-009-- 016.)  The CPUC, as well as FERC Staff and Indicated Shippers, are expected to have filed exceptions to the Initial Decision by November 15, 2001.  </w:t>
      </w:r>
    </w:p>
    <w:p>
      <w:pPr>
        <w:pStyle w:val="BodyText2"/>
        <w:ind w:end="-450"/>
        <w:rPr/>
      </w:pPr>
      <w:r>
        <w:rPr/>
        <w:t xml:space="preserve">According to Transwestern, the revised tariff Sheets Nos. 5B.05 and 5B.06 reflect what Transwestern describes as an “amendment” to a transportation contract with USGT that was to terminate October 31, 2001.  The term of the new agreement is not stated. Revised Sheet No. 5B.05 indicates that the contract for firm transportation service (FTS-1) for 400,000 MMBtu/day is no longer just with USGT, but instead with USGT/Aquila LP.  It applies apparently to subscribed firm capacity, not operational capacity.  The contract represents approximately 23% of Transwestern’s combined eastward and westward capacity of 1.7 Bcf/d and approximately 40% of its westward capacity of 1.09Bcf/d to California.  </w:t>
      </w:r>
    </w:p>
    <w:p>
      <w:pPr>
        <w:pStyle w:val="BodyText2"/>
        <w:ind w:end="-270"/>
        <w:rPr/>
      </w:pPr>
      <w:r>
        <w:rPr/>
        <w:t>The tariff sheets also indicate changes from the original USGT contract with respect to the negotiated rate and the addition of delivery points.  The primary receipt points are in the Texas natural gas basins, with an alternate receipt point at Thoreau, New Mexico.  The primary delivery points are in Texas, with seven alternate delivery points at the California border.</w:t>
      </w:r>
    </w:p>
    <w:p>
      <w:pPr>
        <w:pStyle w:val="BodyText2"/>
        <w:ind w:end="-360"/>
        <w:rPr/>
      </w:pPr>
      <w:r>
        <w:rPr/>
        <w:t>The negotiated rates increase the reservation charge for East-to-East flows, with the commodity (i.e., usage) rate equal to the maximum tariff commodity rate.  The major changes, however, are applicable to the East-to-West flows that primarily affect the use of the alternate receipt and alternate delivery points for transportation to California.  For East-to-West flows, the two-part rate of the prior agreement with USGT is replaced by a one-part usage rate, that is, a combined reservation and commodity rate.  The combined rate is based on the differential between the natural gas California border and basin spot-market published indices, and a sharing of the differential between the shipper and Transwestern.</w:t>
      </w:r>
      <w:r>
        <w:rPr>
          <w:rStyle w:val="FootnoteCharacters"/>
          <w:rStyle w:val="FootnoteReference"/>
        </w:rPr>
        <w:footnoteReference w:id="2"/>
      </w:r>
      <w:r>
        <w:rPr/>
        <w:t xml:space="preserve">  In addition, although the westward flows involve alternate receipt and delivery points, it appears that under Transwestern’s tariff provisions, nominations for alternate points are made equal to nominations at primary points as early as the second cycle in the scheduling process.</w:t>
      </w:r>
    </w:p>
    <w:p>
      <w:pPr>
        <w:pStyle w:val="BodyText2"/>
        <w:ind w:end="-270"/>
        <w:rPr/>
      </w:pPr>
      <w:r>
        <w:rPr/>
        <w:t xml:space="preserve">  </w:t>
      </w:r>
      <w:r>
        <w:rPr/>
        <w:t>In its policy statement on alternatives to cost-of-service ratemaking, the FERC emphasized that use of negotiated rates absolutely requires a viable recourse rate available to shippers on an equitable basis:</w:t>
      </w:r>
    </w:p>
    <w:p>
      <w:pPr>
        <w:pStyle w:val="quotation"/>
        <w:ind w:end="1710"/>
        <w:rPr/>
      </w:pPr>
      <w:r>
        <w:rPr/>
        <w:t>“</w:t>
      </w:r>
      <w:r>
        <w:rPr/>
        <w:t xml:space="preserve">The Commission is particularly concerned about maintaining the integrity of the recourse service.  In order to be successful the recourse service must remain a viable alternative to negotiated service. . . . Therefore, some means may be needed to ensure the continued viability of the recourse service.” </w:t>
      </w:r>
      <w:r>
        <w:rPr>
          <w:rStyle w:val="FootnoteCharacters"/>
          <w:rStyle w:val="FootnoteReference"/>
        </w:rPr>
        <w:footnoteReference w:id="3"/>
      </w:r>
    </w:p>
    <w:p>
      <w:pPr>
        <w:pStyle w:val="quotation"/>
        <w:ind w:end="-270"/>
        <w:rPr/>
      </w:pPr>
      <w:r>
        <w:rPr/>
      </w:r>
    </w:p>
    <w:p>
      <w:pPr>
        <w:pStyle w:val="BodyText2"/>
        <w:ind w:end="-270"/>
        <w:rPr/>
      </w:pPr>
      <w:r>
        <w:rPr/>
        <w:t>Given the extent to which more and more of Transwestern’s firm capacity agreements are based on negotiated rates, and the fact that questions have arisen regarding discriminatory treatment of shippers in the process of noticing and awarding capacity, it is necessary to consider whether recourse service is in fact available when Transwestern wants to use a negotiated rate. Investigating the circumstances surrounding the Transwestern’s new contract with USGT/Aquila LP, therefore, is of considerable significance to shippers and to consumers who ultimately pay the price for Transwestern’s expanded use of market-based gas commodity prices to set transportation rates</w:t>
      </w:r>
    </w:p>
    <w:p>
      <w:pPr>
        <w:pStyle w:val="Heading1"/>
        <w:ind w:hanging="0" w:start="0"/>
        <w:rPr>
          <w:rFonts w:ascii="Times New Roman" w:hAnsi="Times New Roman" w:cs="Times New Roman"/>
          <w:sz w:val="28"/>
        </w:rPr>
      </w:pPr>
      <w:r>
        <w:rPr>
          <w:rFonts w:cs="Times New Roman" w:ascii="Times New Roman" w:hAnsi="Times New Roman"/>
          <w:sz w:val="28"/>
        </w:rPr>
        <w:t>I.</w:t>
        <w:tab/>
        <w:t>INTERVENTION</w:t>
      </w:r>
    </w:p>
    <w:p>
      <w:pPr>
        <w:pStyle w:val="BodyText"/>
        <w:rPr>
          <w:rFonts w:ascii="Times New Roman" w:hAnsi="Times New Roman" w:cs="Times New Roman"/>
          <w:sz w:val="28"/>
        </w:rPr>
      </w:pPr>
      <w:r>
        <w:rPr>
          <w:rFonts w:cs="Times New Roman"/>
          <w:sz w:val="28"/>
        </w:rPr>
      </w:r>
    </w:p>
    <w:p>
      <w:pPr>
        <w:pStyle w:val="BodyText2"/>
        <w:ind w:hanging="0" w:end="-720"/>
        <w:rPr/>
      </w:pPr>
      <w:r>
        <w:rPr/>
        <w:t xml:space="preserve">            </w:t>
      </w:r>
      <w:r>
        <w:rPr/>
        <w:t>The CPUC is a constitutionally established agency charged with the responsibility for regulating natural gas and electric corporations with the State of California.  In addition, the CPUC has a statutory mandate to represent the interests of natural gas and electric consumers throughout California in proceedings before the FERC, and no other party adequately represents these interests. (Cal.Pub.Util.Code § 307.)</w:t>
      </w:r>
    </w:p>
    <w:p>
      <w:pPr>
        <w:pStyle w:val="BodyText2"/>
        <w:ind w:end="-270"/>
        <w:rPr/>
      </w:pPr>
      <w:r>
        <w:rPr/>
        <w:t xml:space="preserve">The persons to whom correspondence and communications concerning the above-captioned proceedings(s) should be addressed are: </w:t>
      </w:r>
    </w:p>
    <w:p>
      <w:pPr>
        <w:pStyle w:val="Normal"/>
        <w:ind w:end="-270"/>
        <w:rPr/>
      </w:pPr>
      <w:r>
        <w:rPr/>
        <w:t xml:space="preserve">Ida M. Passamonti,                                    Brian Prusnek </w:t>
      </w:r>
    </w:p>
    <w:p>
      <w:pPr>
        <w:pStyle w:val="Normal"/>
        <w:ind w:end="-270"/>
        <w:rPr/>
      </w:pPr>
      <w:r>
        <w:rPr/>
        <w:t xml:space="preserve">Senior Counsel                                          Staff Analyst                       </w:t>
      </w:r>
    </w:p>
    <w:p>
      <w:pPr>
        <w:pStyle w:val="Normal"/>
        <w:ind w:end="-270"/>
        <w:rPr/>
      </w:pPr>
      <w:r>
        <w:rPr/>
        <w:t>Public Utilities Commission</w:t>
        <w:tab/>
        <w:tab/>
        <w:t xml:space="preserve">       Public Utilities Commission</w:t>
      </w:r>
    </w:p>
    <w:p>
      <w:pPr>
        <w:pStyle w:val="Normal"/>
        <w:ind w:end="-270"/>
        <w:rPr/>
      </w:pPr>
      <w:r>
        <w:rPr/>
        <w:t>of the State of California</w:t>
        <w:tab/>
        <w:tab/>
        <w:t xml:space="preserve">       of the State of California</w:t>
      </w:r>
    </w:p>
    <w:p>
      <w:pPr>
        <w:pStyle w:val="Normal"/>
        <w:ind w:end="-270"/>
        <w:rPr/>
      </w:pPr>
      <w:r>
        <w:rPr/>
        <w:t>505 Van Ness Ave., Room 4300</w:t>
        <w:tab/>
        <w:t xml:space="preserve">       505 Van Ness Ave., Room 4-A</w:t>
      </w:r>
    </w:p>
    <w:p>
      <w:pPr>
        <w:pStyle w:val="Normal"/>
        <w:ind w:end="-270"/>
        <w:rPr/>
      </w:pPr>
      <w:r>
        <w:rPr/>
        <w:t>San Francisco, CA  94102</w:t>
        <w:tab/>
        <w:tab/>
        <w:t xml:space="preserve">       San Francisco, CA  94102</w:t>
      </w:r>
    </w:p>
    <w:p>
      <w:pPr>
        <w:pStyle w:val="Normal"/>
        <w:ind w:end="-270"/>
        <w:rPr/>
      </w:pPr>
      <w:r>
        <w:rPr/>
        <w:t>(415) 703- 1944</w:t>
        <w:tab/>
        <w:tab/>
        <w:tab/>
        <w:t xml:space="preserve">        (415) 703-1729</w:t>
      </w:r>
    </w:p>
    <w:p>
      <w:pPr>
        <w:pStyle w:val="Normal"/>
        <w:ind w:end="-270"/>
        <w:rPr/>
      </w:pPr>
      <w:r>
        <w:rPr/>
      </w:r>
    </w:p>
    <w:p>
      <w:pPr>
        <w:pStyle w:val="Normal"/>
        <w:ind w:end="-270"/>
        <w:rPr/>
      </w:pPr>
      <w:r>
        <w:rPr/>
        <w:t>Arocles Aguilar</w:t>
      </w:r>
    </w:p>
    <w:p>
      <w:pPr>
        <w:pStyle w:val="Normal"/>
        <w:ind w:end="-270"/>
        <w:rPr/>
      </w:pPr>
      <w:r>
        <w:rPr/>
        <w:t>Assistant General Counsel</w:t>
      </w:r>
    </w:p>
    <w:p>
      <w:pPr>
        <w:pStyle w:val="Normal"/>
        <w:ind w:end="-270"/>
        <w:rPr/>
      </w:pPr>
      <w:r>
        <w:rPr/>
        <w:t>Public Utilities Commission</w:t>
      </w:r>
    </w:p>
    <w:p>
      <w:pPr>
        <w:pStyle w:val="Normal"/>
        <w:ind w:end="-270"/>
        <w:rPr/>
      </w:pPr>
      <w:r>
        <w:rPr/>
        <w:t>Of the State of California</w:t>
      </w:r>
    </w:p>
    <w:p>
      <w:pPr>
        <w:pStyle w:val="Normal"/>
        <w:ind w:end="-270"/>
        <w:rPr/>
      </w:pPr>
      <w:r>
        <w:rPr/>
        <w:t>505 Van Ness Avenue</w:t>
      </w:r>
    </w:p>
    <w:p>
      <w:pPr>
        <w:pStyle w:val="Normal"/>
        <w:ind w:end="-270"/>
        <w:rPr/>
      </w:pPr>
      <w:r>
        <w:rPr/>
        <w:t>San Francisco, CA 94102</w:t>
      </w:r>
    </w:p>
    <w:p>
      <w:pPr>
        <w:pStyle w:val="BodyText"/>
        <w:ind w:end="-270"/>
        <w:rPr/>
      </w:pPr>
      <w:r>
        <w:rPr/>
        <w:t>(415) 703-2969</w:t>
      </w:r>
    </w:p>
    <w:p>
      <w:pPr>
        <w:pStyle w:val="Heading1"/>
        <w:ind w:hanging="0" w:start="0"/>
        <w:rPr>
          <w:rFonts w:ascii="Times New Roman" w:hAnsi="Times New Roman" w:cs="Times New Roman"/>
          <w:sz w:val="28"/>
        </w:rPr>
      </w:pPr>
      <w:r>
        <w:rPr>
          <w:rFonts w:cs="Times New Roman" w:ascii="Times New Roman" w:hAnsi="Times New Roman"/>
          <w:sz w:val="28"/>
        </w:rPr>
      </w:r>
    </w:p>
    <w:p>
      <w:pPr>
        <w:pStyle w:val="Heading1"/>
        <w:ind w:hanging="0" w:start="0"/>
        <w:rPr>
          <w:rFonts w:ascii="Times New Roman" w:hAnsi="Times New Roman" w:cs="Times New Roman"/>
          <w:sz w:val="28"/>
        </w:rPr>
      </w:pPr>
      <w:r>
        <w:rPr>
          <w:rFonts w:cs="Times New Roman" w:ascii="Times New Roman" w:hAnsi="Times New Roman"/>
          <w:sz w:val="28"/>
        </w:rPr>
        <w:t>II.</w:t>
        <w:tab/>
        <w:t>PROTEST</w:t>
      </w:r>
    </w:p>
    <w:p>
      <w:pPr>
        <w:pStyle w:val="Heading2"/>
        <w:ind w:firstLine="720" w:start="0" w:end="0"/>
        <w:rPr>
          <w:rFonts w:ascii="Times New Roman" w:hAnsi="Times New Roman" w:cs="Times New Roman"/>
          <w:i w:val="false"/>
          <w:i w:val="false"/>
          <w:iCs w:val="false"/>
        </w:rPr>
      </w:pPr>
      <w:r>
        <w:rPr>
          <w:rFonts w:cs="Times New Roman" w:ascii="Times New Roman" w:hAnsi="Times New Roman"/>
          <w:i w:val="false"/>
          <w:iCs w:val="false"/>
        </w:rPr>
        <w:t>A.</w:t>
        <w:tab/>
        <w:t>Summary</w:t>
      </w:r>
    </w:p>
    <w:p>
      <w:pPr>
        <w:pStyle w:val="BodyText2"/>
        <w:ind w:end="-810"/>
        <w:rPr/>
      </w:pPr>
      <w:r>
        <w:rPr/>
        <w:t xml:space="preserve">A careful review of the new agreement is needed to determine whether Transwestern’s use of negotiated rates is consistent not only with FERC regulations, but also with the policies expressed in its statement on alternatives to cost-of-service ratemaking. </w:t>
      </w:r>
      <w:r>
        <w:rPr>
          <w:rStyle w:val="FootnoteCharacters"/>
          <w:rStyle w:val="FootnoteReference"/>
          <w:b/>
        </w:rPr>
        <w:footnoteReference w:id="4"/>
      </w:r>
      <w:r>
        <w:rPr>
          <w:b/>
        </w:rPr>
        <w:t xml:space="preserve">  </w:t>
      </w:r>
      <w:r>
        <w:rPr/>
        <w:t xml:space="preserve">An investigation of the latest of Transwestern’s negotiated rate contracts can assist the FERC in determining whether continued use of negotiated rates by a pipeline with market power is in the public interest given the changes in market dynamics and regulatory oversight subsequent to  issuance of the policy statement on alternative rates  in 1996.   </w:t>
      </w:r>
    </w:p>
    <w:p>
      <w:pPr>
        <w:pStyle w:val="BodyText2"/>
        <w:ind w:end="-270"/>
        <w:rPr/>
      </w:pPr>
      <w:r>
        <w:rPr/>
        <w:t xml:space="preserve">Transwestern’s increasing use of negotiated rates for its firm transportation service is testing the limits of its authority at a time when natural gas commodity and electric generation markets have recently driven consumer energy prices to extraordinary high levels.  It is most appropriate for the FERC to carefully consider the implications of the course that Transwestern appears to be on to transform its pipeline, on its own, to a </w:t>
      </w:r>
      <w:r>
        <w:rPr>
          <w:i/>
          <w:u w:val="single"/>
        </w:rPr>
        <w:t>de facto</w:t>
      </w:r>
      <w:r>
        <w:rPr/>
        <w:t xml:space="preserve"> market-based pipeline without the FERC’s having authorized its use of market-based rates.  In its policy statement the FERC distinguished negotiated rates from the use of market-based rates:</w:t>
      </w:r>
    </w:p>
    <w:p>
      <w:pPr>
        <w:pStyle w:val="quotation"/>
        <w:rPr/>
      </w:pPr>
      <w:r>
        <w:rPr/>
        <w:t>“</w:t>
      </w:r>
      <w:r>
        <w:rPr/>
        <w:t xml:space="preserve">The Commission believes that negotiated/recourse service programs could be a viable way of achieving flexible, efficient pricing when market-based rates are not appropriate.” </w:t>
      </w:r>
      <w:r>
        <w:rPr>
          <w:rStyle w:val="FootnoteCharacters"/>
          <w:rStyle w:val="FootnoteReference"/>
        </w:rPr>
        <w:footnoteReference w:id="5"/>
      </w:r>
    </w:p>
    <w:p>
      <w:pPr>
        <w:pStyle w:val="BodyText2"/>
        <w:ind w:end="-270"/>
        <w:rPr/>
      </w:pPr>
      <w:r>
        <w:rPr/>
      </w:r>
    </w:p>
    <w:p>
      <w:pPr>
        <w:pStyle w:val="BodyText2"/>
        <w:ind w:end="-270"/>
        <w:rPr/>
      </w:pPr>
      <w:r>
        <w:rPr/>
        <w:t xml:space="preserve">Transwestern does not have market-based rate authority. The present filing, therefore, provides the FERC with the opportunity to clarify that distinction between the use of a negotiated/recourse service program and market-based rates, and to carefully structure applicable rules required to maintain that distinction. The time is ripe for the FERC to consider to what extent and under what conditions the transportation rates of a regulated pipeline with market power should be directly tied, via the use of negotiated rates, to unregulated natural gas spot-market prices, as in the USGT/Aquila LP contract.  Transwestern’s negotiated rate formula, moreover, appears to be resulting in rates far more than 10% above its recourse rate.  The FERC adopted  10% in its policy statement on alternative rates as the threshold for determining the use of market power.  </w:t>
      </w:r>
      <w:r>
        <w:rPr>
          <w:rStyle w:val="FootnoteCharacters"/>
          <w:rStyle w:val="FootnoteReference"/>
        </w:rPr>
        <w:footnoteReference w:id="6"/>
      </w:r>
      <w:r>
        <w:rPr/>
        <w:t xml:space="preserve"> </w:t>
      </w:r>
    </w:p>
    <w:p>
      <w:pPr>
        <w:pStyle w:val="BodyText2"/>
        <w:spacing w:before="0" w:after="0"/>
        <w:ind w:end="-274"/>
        <w:rPr/>
      </w:pPr>
      <w:r>
        <w:rPr/>
        <w:t xml:space="preserve">It is appropriate and necessary, therefore, to further review Transwestern’s growing use of spot-market natural gas indices, especially when it is not well-established that Transwestern’s recourse rate is always an available option. Of concern is not only the impact on shippers, but also the ultimate effect on assuring just and reasonable consumer utility prices. </w:t>
      </w:r>
    </w:p>
    <w:p>
      <w:pPr>
        <w:pStyle w:val="Heading2"/>
        <w:ind w:firstLine="720" w:start="0" w:end="0"/>
        <w:rPr>
          <w:rFonts w:ascii="Times New Roman" w:hAnsi="Times New Roman" w:cs="Times New Roman"/>
          <w:i w:val="false"/>
          <w:i w:val="false"/>
          <w:iCs w:val="false"/>
        </w:rPr>
      </w:pPr>
      <w:r>
        <w:rPr>
          <w:rFonts w:cs="Times New Roman" w:ascii="Times New Roman" w:hAnsi="Times New Roman"/>
          <w:i w:val="false"/>
          <w:iCs w:val="false"/>
        </w:rPr>
        <w:t>B.</w:t>
        <w:tab/>
        <w:t>Discussion</w:t>
      </w:r>
    </w:p>
    <w:p>
      <w:pPr>
        <w:pStyle w:val="BodyText2"/>
        <w:ind w:end="-270"/>
        <w:rPr/>
      </w:pPr>
      <w:r>
        <w:rPr/>
        <w:t xml:space="preserve">An evidentiary hearing on Transwestern’s negotiated rate filings in the preceding dockets under RP97-288 was held August 29 and 30, 2001, and the initial decision of the presiding ALJ in the consolidated docket was issued October 24, 2001. </w:t>
      </w:r>
      <w:r>
        <w:rPr>
          <w:i/>
        </w:rPr>
        <w:t xml:space="preserve">  </w:t>
      </w:r>
      <w:r>
        <w:rPr/>
        <w:t xml:space="preserve"> The evidentiary hearing came upon the initiation of  inquiry by the FERC’s advisory staff and after the issuance of an order to show cause. (</w:t>
      </w:r>
      <w:r>
        <w:rPr>
          <w:i/>
        </w:rPr>
        <w:t>Order on Negotiated Rate Filings Establishing Hearing Procedures</w:t>
      </w:r>
      <w:r>
        <w:rPr/>
        <w:t xml:space="preserve">, 96 FERC ¶ 61,138, at 61,595 (July 26, 2001).)  The evidentiary hearing concerned four contracts in which Transwestern used f negotiated rates based on basin/California border gas indices differentials for FTS-1 contracts of one month duration, with shipper rollover rights from day to day.  </w:t>
      </w:r>
    </w:p>
    <w:p>
      <w:pPr>
        <w:pStyle w:val="BodyText2"/>
        <w:ind w:end="-270"/>
        <w:rPr/>
      </w:pPr>
      <w:r>
        <w:rPr/>
        <w:t xml:space="preserve">  </w:t>
      </w:r>
      <w:r>
        <w:rPr/>
        <w:t xml:space="preserve">The specific issues addressed at the hearing included  questions as to whether all shippers had been treated in a nondiscriminatory manner with respect to the posting and award of capacity, and whether Transwestern’s use of market power resulted in shippers having agreed to pay rates much higher than Transwestern’s recourse rate.  (96 FERC ¶ 61,138, at 61,595 and 61,597.) </w:t>
      </w:r>
    </w:p>
    <w:p>
      <w:pPr>
        <w:pStyle w:val="BodyText2"/>
        <w:ind w:end="-270"/>
        <w:rPr/>
      </w:pPr>
      <w:r>
        <w:rPr/>
        <w:t xml:space="preserve">Most of the issues raised by the FERC and considered in the hearing apply as well to the present tariff filing that expands significantly Transwestern’s use of market-based rates.  A rate based on natural gas commodity basin and border prices is a market-based rate.  Transwestern has never been granted authority to use market-based rates.  Furthermore, the four contracts at issue in the preceding dockets concerned the use of market-based negotiated rates for a total of approximately 25,000 MMBtu/day in February 2001, and 20,000 MMBtu/day for March 2001. The present negotiated rate contract between Transwestern and USGT/Aquila LP extends the use of market-based rates for firm transportation service for the transportation of 400,000 MMBtu/day. Evidently Transwestern is well on its way to do what the FERC has refused to do, authorize the use of market-based rates without first having made a determination that the pipeline does not have market power. </w:t>
      </w:r>
      <w:r>
        <w:rPr>
          <w:rStyle w:val="FootnoteCharacters"/>
          <w:rStyle w:val="FootnoteReference"/>
        </w:rPr>
        <w:footnoteReference w:id="7"/>
      </w:r>
    </w:p>
    <w:p>
      <w:pPr>
        <w:pStyle w:val="BodyText2"/>
        <w:ind w:end="-270"/>
        <w:rPr/>
      </w:pPr>
      <w:r>
        <w:rPr/>
        <w:t xml:space="preserve">The CPUC, therefore, requests that the FERC allow the same inquiries into the circumstances of the USGT/Aquila LP contract as were made with respect to the previous filings. The original USGT and the new USGT/Aquila LP contracts should be reviewed, with copies provided to all intervenors.  Transwestern also should be required to respond, at a minimum, to the same data requests made by FERC advisory staff regarding the previous negotiated rate filings under RP97-288. (96 FERC ¶61,138, at 61,596)  </w:t>
      </w:r>
    </w:p>
    <w:p>
      <w:pPr>
        <w:pStyle w:val="BodyText2"/>
        <w:ind w:end="-270"/>
        <w:rPr/>
      </w:pPr>
      <w:r>
        <w:rPr/>
        <w:t xml:space="preserve">In addition, it should be clearly established that Transwestern has the burden of explaining precisely and of documenting the content of negotiations, notices, and other communications with all prospective shippers prior to agreeing to the USGT/Aquila LP contract.  Transwestern should also be required to describe any efforts being made to amend other FTS-1 contracts to include rates based on basin/border published indices differentials. In addition, the FERC should determine through the hearing process whether Transwestern has discriminated against similarly situated shippers by exercising unfettered discretionary power in private negotiations with select shippers, and by failing to conduct a transparent and equitable bidding process. </w:t>
      </w:r>
    </w:p>
    <w:p>
      <w:pPr>
        <w:pStyle w:val="BodyText2"/>
        <w:ind w:end="-270"/>
        <w:rPr/>
      </w:pPr>
      <w:r>
        <w:rPr/>
        <w:t xml:space="preserve">Transwestern should also be assigned the burden of explaining and providing data showing the dates and volumes that have flowed eastward compared to westward flows to California, under both the prior USGT contract, and under the new USGT/Aquila LP.  Additionally, Transwestern should be required to provide data showing how the negotiated rates have been calculated to date and comparing the revenues earned on a daily basis under the negotiated rates with what would have been earned under the applicable maximum recourse rate (combining the maximum recourse reservation and commodity rates).  Transwestern should also provide the data identifying and clearly explaining any differences between the daily nominations and actual daily gas flows of other firm shippers at the same points as were designated alternate receipt and alternate delivery points under the prior USGT negotiated rate contract and under the new USGT/Aquila LP contract. It is important to determine whether certain conditions are tacitly, if not explicitly, attached to the negotiated rate contracts that cut into the flows of shippers who have not agreed to Transwestern’s negotiated rate formula, a formula that prompts Transwestern to act not only as a transporter, but also as a partner with gas marketers.  </w:t>
      </w:r>
    </w:p>
    <w:p>
      <w:pPr>
        <w:pStyle w:val="Heading1"/>
        <w:ind w:hanging="0" w:start="0"/>
        <w:rPr>
          <w:rFonts w:ascii="Times New Roman" w:hAnsi="Times New Roman" w:cs="Times New Roman"/>
          <w:sz w:val="28"/>
        </w:rPr>
      </w:pPr>
      <w:r>
        <w:rPr>
          <w:rFonts w:cs="Times New Roman" w:ascii="Times New Roman" w:hAnsi="Times New Roman"/>
          <w:sz w:val="28"/>
        </w:rPr>
        <w:t>III.</w:t>
        <w:tab/>
        <w:t>CONCLUSION</w:t>
      </w:r>
    </w:p>
    <w:p>
      <w:pPr>
        <w:pStyle w:val="BodyText2"/>
        <w:ind w:end="-900"/>
        <w:rPr/>
      </w:pPr>
      <w:r>
        <w:rPr/>
        <w:t xml:space="preserve">For the foregoing reasons, the CPUC requests that the FERC establish a hearing to permit further inquiries in the USGT/Aquila LP contract.  Alternatively, the CPUC requests that the FERC staff pursue the same inquiries as it did with respect to the prior Transwestern negotiated rate contracts, and allow all data responses by Transwestern to be served on intervenors.  The CPUC further requests that if a hearing is not established, that the FERC set this matter for a technical conference.   Pursuit of the issues set forth herein will assist in determining whether the FERC’s rate policies are working fairly, are achieving the goals anticipated, and producing just and reasonable rates for the ultimate consumer of utility services.  </w:t>
      </w:r>
    </w:p>
    <w:p>
      <w:pPr>
        <w:pStyle w:val="Normal"/>
        <w:ind w:start="4320" w:end="-270"/>
        <w:rPr/>
      </w:pPr>
      <w:r>
        <w:rPr/>
        <w:t xml:space="preserve">                                                                  </w:t>
      </w:r>
    </w:p>
    <w:p>
      <w:pPr>
        <w:pStyle w:val="Normal"/>
        <w:ind w:start="3600" w:end="-270"/>
        <w:rPr/>
      </w:pPr>
      <w:r>
        <w:rPr/>
        <w:t xml:space="preserve">            </w:t>
      </w:r>
      <w:r>
        <w:rPr/>
        <w:t>Respectfully submitted,</w:t>
      </w:r>
    </w:p>
    <w:p>
      <w:pPr>
        <w:pStyle w:val="Normal"/>
        <w:ind w:start="4320" w:end="-270"/>
        <w:rPr/>
      </w:pPr>
      <w:r>
        <w:rPr/>
      </w:r>
    </w:p>
    <w:p>
      <w:pPr>
        <w:pStyle w:val="Normal"/>
        <w:numPr>
          <w:ilvl w:val="0"/>
          <w:numId w:val="0"/>
        </w:numPr>
        <w:ind w:start="4320" w:end="-270"/>
        <w:outlineLvl w:val="0"/>
        <w:rPr/>
      </w:pPr>
      <w:r>
        <w:rPr/>
        <w:t>GARY M. COHEN</w:t>
      </w:r>
    </w:p>
    <w:p>
      <w:pPr>
        <w:pStyle w:val="Normal"/>
        <w:numPr>
          <w:ilvl w:val="0"/>
          <w:numId w:val="0"/>
        </w:numPr>
        <w:ind w:start="4320" w:end="-270"/>
        <w:outlineLvl w:val="0"/>
        <w:rPr/>
      </w:pPr>
      <w:r>
        <w:rPr/>
        <w:t>AROCLES AGUILAR</w:t>
      </w:r>
    </w:p>
    <w:p>
      <w:pPr>
        <w:pStyle w:val="Normal"/>
        <w:ind w:start="4320" w:end="-270"/>
        <w:rPr/>
      </w:pPr>
      <w:r>
        <w:rPr/>
        <w:t>IDA M. PASSAMONTI</w:t>
      </w:r>
    </w:p>
    <w:p>
      <w:pPr>
        <w:pStyle w:val="Normal"/>
        <w:ind w:start="4320" w:end="-270"/>
        <w:rPr/>
      </w:pPr>
      <w:r>
        <w:rPr/>
      </w:r>
    </w:p>
    <w:p>
      <w:pPr>
        <w:pStyle w:val="Normal"/>
        <w:ind w:start="4320" w:end="-270"/>
        <w:rPr/>
      </w:pPr>
      <w:r>
        <w:rPr/>
      </w:r>
    </w:p>
    <w:p>
      <w:pPr>
        <w:pStyle w:val="Normal"/>
        <w:ind w:start="3600" w:end="-270"/>
        <w:rPr/>
      </w:pPr>
      <w:r>
        <w:rPr/>
        <w:t>By:</w:t>
        <w:tab/>
        <w:t>/s/</w:t>
        <w:tab/>
        <w:t>IDA M. PASSAMONTI</w:t>
      </w:r>
    </w:p>
    <w:p>
      <w:pPr>
        <w:pStyle w:val="Normal"/>
        <w:ind w:start="4320" w:end="-270"/>
        <w:rPr/>
      </w:pPr>
      <w:r>
        <w:rPr/>
        <w:t>—————————————</w:t>
      </w:r>
    </w:p>
    <w:p>
      <w:pPr>
        <w:pStyle w:val="Normal"/>
        <w:ind w:firstLine="720" w:start="4320" w:end="-270"/>
        <w:rPr/>
      </w:pPr>
      <w:r>
        <w:rPr/>
        <w:t>IDA M. PASSAMONTI</w:t>
      </w:r>
    </w:p>
    <w:p>
      <w:pPr>
        <w:pStyle w:val="Normal"/>
        <w:ind w:start="4320" w:end="-270"/>
        <w:rPr/>
      </w:pPr>
      <w:r>
        <w:rPr/>
      </w:r>
    </w:p>
    <w:p>
      <w:pPr>
        <w:pStyle w:val="Normal"/>
        <w:ind w:start="4320" w:end="-270"/>
        <w:rPr/>
      </w:pPr>
      <w:r>
        <w:rPr/>
        <w:t>Attorneys for the Public Utilities Commission of the State of California</w:t>
      </w:r>
    </w:p>
    <w:p>
      <w:pPr>
        <w:pStyle w:val="Normal"/>
        <w:ind w:start="4320" w:end="-270"/>
        <w:rPr/>
      </w:pPr>
      <w:r>
        <w:rPr/>
      </w:r>
    </w:p>
    <w:p>
      <w:pPr>
        <w:pStyle w:val="Normal"/>
        <w:numPr>
          <w:ilvl w:val="0"/>
          <w:numId w:val="0"/>
        </w:numPr>
        <w:ind w:start="4320" w:end="-270"/>
        <w:outlineLvl w:val="0"/>
        <w:rPr/>
      </w:pPr>
      <w:r>
        <w:rPr/>
        <w:t>505 Van Ness Avenue, Room 4300</w:t>
      </w:r>
    </w:p>
    <w:p>
      <w:pPr>
        <w:pStyle w:val="Normal"/>
        <w:ind w:start="4320" w:end="-270"/>
        <w:rPr/>
      </w:pPr>
      <w:r>
        <w:rPr/>
        <w:t>San Francisco, CA  94102</w:t>
      </w:r>
    </w:p>
    <w:p>
      <w:pPr>
        <w:pStyle w:val="Normal"/>
        <w:ind w:end="-270"/>
        <w:rPr/>
      </w:pPr>
      <w:r>
        <w:rPr/>
        <w:tab/>
        <w:tab/>
        <w:tab/>
        <w:tab/>
        <w:tab/>
        <w:tab/>
        <w:t>Phone: (415) 703-1944</w:t>
      </w:r>
    </w:p>
    <w:p>
      <w:pPr>
        <w:pStyle w:val="BodyText2"/>
        <w:spacing w:lineRule="auto" w:line="240" w:before="0" w:after="0"/>
        <w:ind w:end="-270"/>
        <w:rPr/>
      </w:pPr>
      <w:r>
        <w:rPr/>
        <w:t xml:space="preserve">                                                        </w:t>
      </w:r>
      <w:r>
        <w:rPr/>
        <w:t>FAX: (415) 703 4432</w:t>
      </w:r>
    </w:p>
    <w:p>
      <w:pPr>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440" w:footer="720" w:bottom="1440"/>
          <w:pgNumType w:start="1" w:fmt="decimal"/>
          <w:formProt w:val="false"/>
          <w:textDirection w:val="lrTb"/>
          <w:docGrid w:type="default" w:linePitch="360" w:charSpace="0"/>
        </w:sectPr>
        <w:pStyle w:val="BodyText2"/>
        <w:spacing w:lineRule="auto" w:line="240" w:before="0" w:after="0"/>
        <w:ind w:hanging="0" w:end="-270"/>
        <w:rPr/>
      </w:pPr>
      <w:r>
        <w:rPr/>
        <w:t xml:space="preserve">November 13, 2001 </w:t>
        <w:tab/>
        <w:tab/>
        <w:tab/>
        <w:tab/>
        <w:t>E-Mail: imp@cpuc.ca.gov</w:t>
      </w:r>
    </w:p>
    <w:p>
      <w:pPr>
        <w:pStyle w:val="Normal"/>
        <w:jc w:val="center"/>
        <w:rPr>
          <w:b/>
          <w:szCs w:val="20"/>
          <w:u w:val="single"/>
        </w:rPr>
      </w:pPr>
      <w:r>
        <w:rPr>
          <w:b/>
          <w:u w:val="single"/>
        </w:rPr>
        <w:t>CERTIFICATE OF SERVICE</w:t>
      </w:r>
    </w:p>
    <w:p>
      <w:pPr>
        <w:pStyle w:val="Normal"/>
        <w:jc w:val="center"/>
        <w:rPr>
          <w:b/>
          <w:szCs w:val="20"/>
          <w:u w:val="single"/>
        </w:rPr>
      </w:pPr>
      <w:r>
        <w:rPr>
          <w:b/>
          <w:szCs w:val="20"/>
          <w:u w:val="single"/>
        </w:rPr>
      </w:r>
    </w:p>
    <w:p>
      <w:pPr>
        <w:pStyle w:val="Normal"/>
        <w:jc w:val="center"/>
        <w:rPr>
          <w:szCs w:val="20"/>
        </w:rPr>
      </w:pPr>
      <w:r>
        <w:rPr>
          <w:szCs w:val="20"/>
        </w:rPr>
      </w:r>
    </w:p>
    <w:p>
      <w:pPr>
        <w:pStyle w:val="Normal"/>
        <w:jc w:val="center"/>
        <w:rPr>
          <w:szCs w:val="20"/>
        </w:rPr>
      </w:pPr>
      <w:r>
        <w:rPr>
          <w:szCs w:val="20"/>
        </w:rPr>
      </w:r>
    </w:p>
    <w:p>
      <w:pPr>
        <w:pStyle w:val="BodyText"/>
        <w:spacing w:lineRule="auto" w:line="480"/>
        <w:ind w:firstLine="720" w:end="0"/>
        <w:rPr/>
      </w:pPr>
      <w:r>
        <w:rPr>
          <w:sz w:val="24"/>
        </w:rPr>
        <w:t xml:space="preserve">I hereby certify that I have this day caused the foregoing document to be served </w:t>
      </w:r>
      <w:r>
        <w:rPr>
          <w:spacing w:val="-3"/>
          <w:sz w:val="24"/>
        </w:rPr>
        <w:t>upon all</w:t>
      </w:r>
      <w:r>
        <w:rPr>
          <w:b/>
          <w:spacing w:val="-3"/>
          <w:sz w:val="24"/>
        </w:rPr>
        <w:t xml:space="preserve"> </w:t>
      </w:r>
      <w:r>
        <w:rPr>
          <w:spacing w:val="-3"/>
          <w:sz w:val="24"/>
        </w:rPr>
        <w:t>known pa</w:t>
      </w:r>
      <w:r>
        <w:rPr>
          <w:sz w:val="24"/>
        </w:rPr>
        <w:t xml:space="preserve">rties in this proceeding by mailing by first-class a copy properly addressed to each party. </w:t>
      </w:r>
    </w:p>
    <w:p>
      <w:pPr>
        <w:pStyle w:val="BodyText"/>
        <w:spacing w:lineRule="auto" w:line="480"/>
        <w:ind w:firstLine="720" w:end="0"/>
        <w:rPr>
          <w:sz w:val="24"/>
        </w:rPr>
      </w:pPr>
      <w:r>
        <w:rPr>
          <w:sz w:val="24"/>
        </w:rPr>
        <w:t>Dated at San Francisco, California, this 13th day of November 2001.</w:t>
      </w:r>
    </w:p>
    <w:p>
      <w:pPr>
        <w:pStyle w:val="Normal"/>
        <w:rPr>
          <w:sz w:val="24"/>
          <w:szCs w:val="20"/>
        </w:rPr>
      </w:pPr>
      <w:r>
        <w:rPr>
          <w:sz w:val="24"/>
          <w:szCs w:val="20"/>
        </w:rPr>
      </w:r>
    </w:p>
    <w:p>
      <w:pPr>
        <w:pStyle w:val="Normal"/>
        <w:rPr>
          <w:szCs w:val="20"/>
        </w:rPr>
      </w:pPr>
      <w:r>
        <w:rPr>
          <w:szCs w:val="20"/>
        </w:rPr>
      </w:r>
    </w:p>
    <w:p>
      <w:pPr>
        <w:pStyle w:val="Normal"/>
        <w:ind w:firstLine="720" w:start="4320" w:end="0"/>
        <w:rPr/>
      </w:pPr>
      <w:r>
        <w:rPr/>
        <w:t>/s/</w:t>
        <w:tab/>
        <w:t>IDA PASSAMONTI</w:t>
        <w:tab/>
        <w:tab/>
      </w:r>
      <w:r>
        <w:rPr>
          <w:rStyle w:val="LineNumber"/>
        </w:rPr>
        <w:tab/>
        <w:t>—————————————</w:t>
      </w:r>
    </w:p>
    <w:p>
      <w:pPr>
        <w:pStyle w:val="Normal"/>
        <w:ind w:firstLine="540" w:start="5040" w:end="0"/>
        <w:rPr/>
      </w:pPr>
      <w:r>
        <w:rPr>
          <w:rStyle w:val="LineNumber"/>
        </w:rPr>
        <w:t xml:space="preserve">   </w:t>
      </w:r>
      <w:r>
        <w:rPr>
          <w:rStyle w:val="LineNumber"/>
        </w:rPr>
        <w:t>IDA PASSAMONTI</w:t>
      </w:r>
    </w:p>
    <w:p>
      <w:pPr>
        <w:pStyle w:val="Normal"/>
        <w:rPr>
          <w:rStyle w:val="LineNumber"/>
        </w:rPr>
      </w:pPr>
      <w:r>
        <w:rPr/>
      </w:r>
    </w:p>
    <w:p>
      <w:pPr>
        <w:pStyle w:val="Normal"/>
        <w:rPr/>
      </w:pPr>
      <w:r>
        <w:rPr/>
      </w:r>
    </w:p>
    <w:sectPr>
      <w:headerReference w:type="default" r:id="rId10"/>
      <w:headerReference w:type="first" r:id="rId11"/>
      <w:footerReference w:type="default" r:id="rId12"/>
      <w:footerReference w:type="first" r:id="rId13"/>
      <w:footnotePr>
        <w:numFmt w:val="decimal"/>
      </w:footnotePr>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2" name="Frame1"/>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110383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27635" cy="146685"/>
              <wp:effectExtent l="0" t="0" r="0" b="0"/>
              <wp:wrapSquare wrapText="bothSides"/>
              <wp:docPr id="3" name="Frame2"/>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29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127635" cy="146685"/>
              <wp:effectExtent l="0" t="0" r="0" b="0"/>
              <wp:wrapSquare wrapText="bothSides"/>
              <wp:docPr id="4" name="Frame3"/>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1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Other elements are included in the rate equation, including the reservation charge for East-to-East flows, a mainline fuel fee, and currently applicable surcharges.</w:t>
      </w:r>
    </w:p>
  </w:footnote>
  <w:footnote w:id="3">
    <w:p>
      <w:pPr>
        <w:pStyle w:val="FootnoteText"/>
        <w:rPr/>
      </w:pPr>
      <w:r>
        <w:rPr>
          <w:rStyle w:val="FootnoteCharacters"/>
        </w:rPr>
        <w:footnoteRef/>
      </w:r>
      <w:r>
        <w:rPr/>
        <w:t xml:space="preserve"> </w:t>
      </w:r>
      <w:r>
        <w:rPr>
          <w:i/>
        </w:rPr>
        <w:t>Alternatives To Traditional Cost-of-Service Ratemaking for Natural Gas Pipelines and Regulation of Negotiated Transportation Services of Natural gas Pipelines</w:t>
      </w:r>
      <w:r>
        <w:rPr/>
        <w:t xml:space="preserve"> (“Policy Statement”), 74 FERC ¶ 61,076, at 61,240  (1996); </w:t>
      </w:r>
      <w:r>
        <w:rPr>
          <w:i/>
        </w:rPr>
        <w:t>order granting clarification</w:t>
      </w:r>
      <w:r>
        <w:rPr/>
        <w:t>, 74 FERC ¶ 61,194 (1996); order denying requests for rehearing and clarification, 75 FERC ¶61,024 (1996); and order denying rehearing 75 FERC ¶ 61,066 (1996).</w:t>
      </w:r>
    </w:p>
  </w:footnote>
  <w:footnote w:id="4">
    <w:p>
      <w:pPr>
        <w:pStyle w:val="FootnoteText"/>
        <w:rPr/>
      </w:pPr>
      <w:r>
        <w:rPr>
          <w:rStyle w:val="FootnoteCharacters"/>
        </w:rPr>
        <w:footnoteRef/>
      </w:r>
      <w:r>
        <w:rPr/>
        <w:t xml:space="preserve">   </w:t>
      </w:r>
      <w:r>
        <w:rPr>
          <w:i/>
        </w:rPr>
        <w:t>Policy Statement</w:t>
      </w:r>
      <w:r>
        <w:rPr/>
        <w:t>, 74 FERC ¶ 61,076, at 61,227 – 61,231.</w:t>
      </w:r>
    </w:p>
  </w:footnote>
  <w:footnote w:id="5">
    <w:p>
      <w:pPr>
        <w:pStyle w:val="FootnoteText"/>
        <w:rPr/>
      </w:pPr>
      <w:r>
        <w:rPr>
          <w:rStyle w:val="FootnoteCharacters"/>
        </w:rPr>
        <w:footnoteRef/>
      </w:r>
      <w:r>
        <w:rPr/>
        <w:t xml:space="preserve">   </w:t>
      </w:r>
      <w:r>
        <w:rPr/>
        <w:t>74 FERC 61,076, at 61,240.</w:t>
      </w:r>
    </w:p>
  </w:footnote>
  <w:footnote w:id="6">
    <w:p>
      <w:pPr>
        <w:pStyle w:val="FootnoteText"/>
        <w:rPr/>
      </w:pPr>
      <w:r>
        <w:rPr>
          <w:rStyle w:val="FootnoteCharacters"/>
        </w:rPr>
        <w:footnoteRef/>
      </w:r>
      <w:r>
        <w:rPr/>
        <w:t xml:space="preserve">   </w:t>
      </w:r>
      <w:r>
        <w:rPr/>
        <w:t>74 FERC ¶ 61,076, at 61,231 – 61,232.</w:t>
      </w:r>
    </w:p>
  </w:footnote>
  <w:footnote w:id="7">
    <w:p>
      <w:pPr>
        <w:pStyle w:val="FootnoteText"/>
        <w:rPr/>
      </w:pPr>
      <w:r>
        <w:rPr>
          <w:rStyle w:val="FootnoteCharacters"/>
        </w:rPr>
        <w:footnoteRef/>
      </w:r>
      <w:r>
        <w:rPr/>
        <w:t xml:space="preserve">   </w:t>
      </w:r>
      <w:r>
        <w:rPr/>
        <w:t>74 FERC ¶ 61,076, at 61,227.</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rPr>
    </w:pPr>
    <w:r>
      <w:rPr>
        <w:b/>
        <w:bCs/>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bottom w:val="double" w:sz="6" w:space="1" w:color="000000"/>
      </w:pBdr>
      <w:tabs>
        <w:tab w:val="clear" w:pos="720"/>
        <w:tab w:val="left" w:pos="8280" w:leader="none"/>
        <w:tab w:val="left" w:pos="8370" w:leader="none"/>
        <w:tab w:val="right" w:pos="11070" w:leader="none"/>
      </w:tabs>
      <w:ind w:end="-720"/>
      <w:rPr/>
    </w:pPr>
    <w:r>
      <w:rPr>
        <w:rFonts w:cs="Arial" w:ascii="Arial" w:hAnsi="Arial"/>
        <w:sz w:val="16"/>
      </w:rPr>
      <w:t>STATE OF CALIFORNIA</w:t>
    </w:r>
    <w:r>
      <w:rPr>
        <w:rFonts w:cs="Arial" w:ascii="Arial" w:hAnsi="Arial"/>
      </w:rPr>
      <w:tab/>
    </w:r>
    <w:r>
      <w:rPr>
        <w:rFonts w:cs="Arial" w:ascii="Arial" w:hAnsi="Arial"/>
        <w:sz w:val="16"/>
      </w:rPr>
      <w:t>GRAY DAVIS</w:t>
    </w:r>
    <w:r>
      <w:rPr>
        <w:rFonts w:cs="Arial" w:ascii="Arial" w:hAnsi="Arial"/>
      </w:rPr>
      <w:t xml:space="preserve">, </w:t>
    </w:r>
    <w:r>
      <w:rPr>
        <w:rFonts w:cs="Arial" w:ascii="Arial" w:hAnsi="Arial"/>
        <w:i/>
        <w:sz w:val="16"/>
      </w:rPr>
      <w:t>Governor</w:t>
    </w:r>
  </w:p>
  <w:p>
    <w:pPr>
      <w:pStyle w:val="Normal"/>
      <w:tabs>
        <w:tab w:val="clear" w:pos="720"/>
        <w:tab w:val="right" w:pos="11070" w:leader="none"/>
      </w:tabs>
      <w:rPr/>
    </w:pPr>
    <w:r>
      <w:rPr/>
      <w:drawing>
        <wp:inline distT="0" distB="0" distL="0" distR="0">
          <wp:extent cx="671195" cy="6121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16" t="-17" r="-16" b="-17"/>
                  <a:stretch>
                    <a:fillRect/>
                  </a:stretch>
                </pic:blipFill>
                <pic:spPr bwMode="auto">
                  <a:xfrm>
                    <a:off x="0" y="0"/>
                    <a:ext cx="671195" cy="612140"/>
                  </a:xfrm>
                  <a:prstGeom prst="rect">
                    <a:avLst/>
                  </a:prstGeom>
                  <a:noFill/>
                </pic:spPr>
              </pic:pic>
            </a:graphicData>
          </a:graphic>
        </wp:inline>
      </w:drawing>
    </w:r>
    <w:r>
      <w:rPr>
        <w:rFonts w:cs="Arial" w:ascii="Arial" w:hAnsi="Arial"/>
      </w:rPr>
      <w:t>PUBLIC UTILITIES COMMISSION</w:t>
    </w:r>
  </w:p>
  <w:p>
    <w:pPr>
      <w:pStyle w:val="Normal"/>
      <w:tabs>
        <w:tab w:val="clear" w:pos="720"/>
        <w:tab w:val="right" w:pos="11070" w:leader="none"/>
      </w:tabs>
      <w:rPr>
        <w:rFonts w:ascii="Arial" w:hAnsi="Arial" w:cs="Arial"/>
        <w:sz w:val="12"/>
      </w:rPr>
    </w:pPr>
    <w:r>
      <w:rPr>
        <w:rFonts w:cs="Arial" w:ascii="Arial" w:hAnsi="Arial"/>
        <w:sz w:val="12"/>
      </w:rPr>
      <w:t>505 VAN NESS AVENUE</w:t>
    </w:r>
  </w:p>
  <w:p>
    <w:pPr>
      <w:pStyle w:val="Normal"/>
      <w:tabs>
        <w:tab w:val="clear" w:pos="720"/>
        <w:tab w:val="right" w:pos="11070" w:leader="none"/>
      </w:tabs>
      <w:rPr>
        <w:rFonts w:ascii="Arial" w:hAnsi="Arial" w:cs="Arial"/>
        <w:sz w:val="12"/>
      </w:rPr>
    </w:pPr>
    <w:r>
      <w:rPr>
        <w:rFonts w:cs="Arial" w:ascii="Arial" w:hAnsi="Arial"/>
        <w:sz w:val="12"/>
      </w:rPr>
      <w:t>SAN FRANCISCO, CA  94102-3298</w:t>
    </w:r>
  </w:p>
  <w:p>
    <w:pPr>
      <w:pStyle w:val="Header"/>
      <w:rPr>
        <w:rFonts w:ascii="Arial" w:hAnsi="Arial" w:cs="Arial"/>
        <w:sz w:val="12"/>
      </w:rPr>
    </w:pPr>
    <w:r>
      <w:rPr>
        <w:rFonts w:cs="Arial" w:ascii="Arial" w:hAnsi="Arial"/>
        <w:sz w:val="1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rPr>
    </w:pPr>
    <w:r>
      <w:rPr>
        <w:b/>
        <w:bCs/>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rPr>
    </w:pPr>
    <w:r>
      <w:rPr>
        <w:b/>
        <w:bCs/>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1080"/>
        </w:tabs>
        <w:ind w:start="108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LineNumber">
    <w:name w:val="lin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z w:val="26"/>
      <w:szCs w:val="20"/>
    </w:rPr>
  </w:style>
  <w:style w:type="paragraph" w:styleId="List">
    <w:name w:val="List"/>
    <w:basedOn w:val="BodyText"/>
    <w:pPr/>
    <w:rPr>
      <w:rFonts w:cs="NotoSans NF"/>
    </w:rPr>
  </w:style>
  <w:style w:type="paragraph" w:styleId="Caption">
    <w:name w:val="caption"/>
    <w:basedOn w:val="BodyText"/>
    <w:qFormat/>
    <w:pPr>
      <w:tabs>
        <w:tab w:val="clear" w:pos="720"/>
        <w:tab w:val="left" w:pos="4320" w:leader="none"/>
        <w:tab w:val="left" w:pos="5040" w:leader="none"/>
      </w:tabs>
      <w:overflowPunct w:val="false"/>
      <w:autoSpaceDE w:val="false"/>
      <w:spacing w:before="0" w:after="0"/>
      <w:textAlignment w:val="baseline"/>
    </w:pPr>
    <w:rPr/>
  </w:style>
  <w:style w:type="paragraph" w:styleId="Index">
    <w:name w:val="Index"/>
    <w:basedOn w:val="Normal"/>
    <w:qFormat/>
    <w:pPr>
      <w:suppressLineNumbers/>
    </w:pPr>
    <w:rPr>
      <w:rFonts w:cs="NotoSans NF"/>
    </w:rPr>
  </w:style>
  <w:style w:type="paragraph" w:styleId="quotation">
    <w:name w:val="quotation"/>
    <w:basedOn w:val="BodyText"/>
    <w:qFormat/>
    <w:pPr>
      <w:spacing w:before="0" w:after="0"/>
      <w:ind w:hanging="0" w:start="2160" w:end="180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overflowPunct w:val="false"/>
      <w:autoSpaceDE w:val="false"/>
      <w:textAlignment w:val="baseline"/>
    </w:pPr>
    <w:rPr>
      <w:sz w:val="20"/>
      <w:szCs w:val="20"/>
    </w:rPr>
  </w:style>
  <w:style w:type="paragraph" w:styleId="BriefTitle">
    <w:name w:val="Brief Title"/>
    <w:basedOn w:val="Normal"/>
    <w:qFormat/>
    <w:pPr>
      <w:overflowPunct w:val="false"/>
      <w:autoSpaceDE w:val="false"/>
      <w:jc w:val="center"/>
      <w:textAlignment w:val="baseline"/>
    </w:pPr>
    <w:rPr>
      <w:b/>
      <w:sz w:val="28"/>
      <w:szCs w:val="20"/>
    </w:rPr>
  </w:style>
  <w:style w:type="paragraph" w:styleId="BodyText2">
    <w:name w:val="Body Text 2"/>
    <w:basedOn w:val="Normal"/>
    <w:qFormat/>
    <w:pPr>
      <w:spacing w:lineRule="auto" w:line="480" w:before="0" w:after="120"/>
      <w:ind w:firstLine="720" w:start="0" w:end="0"/>
    </w:pPr>
    <w:rPr>
      <w:sz w:val="26"/>
      <w:szCs w:val="20"/>
    </w:rPr>
  </w:style>
  <w:style w:type="paragraph" w:styleId="FootnoteText">
    <w:name w:val="footnote text"/>
    <w:basedOn w:val="Normal"/>
    <w:pPr/>
    <w:rPr>
      <w:sz w:val="20"/>
      <w:szCs w:val="20"/>
    </w:rPr>
  </w:style>
  <w:style w:type="paragraph" w:styleId="Header">
    <w:name w:val="header"/>
    <w:basedOn w:val="Normal"/>
    <w:pPr>
      <w:tabs>
        <w:tab w:val="clear" w:pos="720"/>
        <w:tab w:val="center" w:pos="4320" w:leader="none"/>
        <w:tab w:val="right" w:pos="8640" w:leader="none"/>
      </w:tabs>
      <w:spacing w:lineRule="auto" w:line="480"/>
    </w:pPr>
    <w:rPr>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2001-11-14T15:08:00Z</dcterms:created>
  <dc:creator>Ida Passamonti</dc:creator>
  <dc:description/>
  <dc:language>en-CA</dc:language>
  <cp:lastModifiedBy>nbagot</cp:lastModifiedBy>
  <cp:lastPrinted>2001-11-13T11:32:00Z</cp:lastPrinted>
  <dcterms:modified xsi:type="dcterms:W3CDTF">2001-11-14T15:08:00Z</dcterms:modified>
  <cp:revision>2</cp:revision>
  <dc:subject/>
  <dc:title>UNITED STATES OF AMERICA</dc:title>
</cp:coreProperties>
</file>