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ubleSpacing"/>
        <w:numPr>
          <w:ilvl w:val="0"/>
          <w:numId w:val="0"/>
        </w:numPr>
        <w:ind w:firstLine="720" w:start="0" w:end="0"/>
        <w:rPr>
          <w:rFonts w:ascii="Arial" w:hAnsi="Arial" w:cs="Arial"/>
          <w:b/>
        </w:rPr>
      </w:pPr>
      <w:r>
        <w:rPr>
          <w:rFonts w:cs="Arial" w:ascii="Arial" w:hAnsi="Arial"/>
          <w:b/>
        </w:rPr>
        <w:t>Attachment A to Subpoena</w:t>
      </w:r>
    </w:p>
    <w:p>
      <w:pPr>
        <w:pStyle w:val="DoubleSpacing"/>
        <w:numPr>
          <w:ilvl w:val="0"/>
          <w:numId w:val="0"/>
        </w:numPr>
        <w:ind w:firstLine="720" w:start="0" w:end="0"/>
        <w:jc w:val="center"/>
        <w:rPr>
          <w:rFonts w:ascii="Arial" w:hAnsi="Arial" w:cs="Arial"/>
          <w:b/>
        </w:rPr>
      </w:pPr>
      <w:r>
        <w:rPr>
          <w:rFonts w:cs="Arial" w:ascii="Arial" w:hAnsi="Arial"/>
          <w:b/>
        </w:rPr>
        <w:t>INSTRUCTIONS AND DEFINITIONS</w:t>
      </w:r>
    </w:p>
    <w:p>
      <w:pPr>
        <w:pStyle w:val="DoubleSpacing"/>
        <w:ind w:firstLine="720" w:end="0"/>
        <w:rPr>
          <w:rFonts w:ascii="Arial" w:hAnsi="Arial" w:cs="Arial"/>
        </w:rPr>
      </w:pPr>
      <w:r>
        <w:rPr>
          <w:rFonts w:cs="Arial" w:ascii="Arial" w:hAnsi="Arial"/>
        </w:rPr>
        <w:t>The following instructions and definitions apply to each Request for Production of Documents ("Request") herein, and each Request is to be responded to as if these instructions and definitions were set forth in full with regard to it.</w:t>
      </w:r>
    </w:p>
    <w:p>
      <w:pPr>
        <w:pStyle w:val="DoubleSpacing"/>
        <w:ind w:firstLine="720" w:end="0"/>
        <w:rPr>
          <w:rFonts w:ascii="Arial" w:hAnsi="Arial" w:cs="Arial"/>
        </w:rPr>
      </w:pPr>
      <w:r>
        <w:rPr>
          <w:rFonts w:cs="Arial" w:ascii="Arial" w:hAnsi="Arial"/>
        </w:rPr>
        <w:t>Each Request calls for all documents responsive to that Request that are in your possession, custody or control, including documents in the possession of your attorneys, investigators, representatives or others acting on your behalf or under your direction or control.  You must make a diligent search of your records and of other papers and any materials in your possession or available to you or to persons subject to your influence and control.</w:t>
      </w:r>
    </w:p>
    <w:p>
      <w:pPr>
        <w:pStyle w:val="DoubleSpacing"/>
        <w:ind w:firstLine="720" w:end="0"/>
        <w:rPr>
          <w:rFonts w:ascii="Arial" w:hAnsi="Arial" w:cs="Arial"/>
        </w:rPr>
      </w:pPr>
      <w:r>
        <w:rPr>
          <w:rFonts w:cs="Arial" w:ascii="Arial" w:hAnsi="Arial"/>
        </w:rPr>
        <w:t>If you claim privilege as to any documents, state the nature of the privilege, all facts that support the claim of privilege, the person claiming the privilege and a full and complete description of the document, including its title, date, author, nature, the job titles of the document's author(s), recipients(s), and persons copied (e.g., "cc" or "bcc"), form (e.g., letter, memorandum, etc.), subject matter and the name and address of the present custodian of the original or any copies of the document known to you.</w:t>
      </w:r>
    </w:p>
    <w:p>
      <w:pPr>
        <w:pStyle w:val="DoubleSpacing"/>
        <w:ind w:firstLine="720" w:end="0"/>
        <w:rPr>
          <w:rFonts w:ascii="Arial" w:hAnsi="Arial" w:cs="Arial"/>
        </w:rPr>
      </w:pPr>
      <w:r>
        <w:rPr>
          <w:rFonts w:cs="Arial" w:ascii="Arial" w:hAnsi="Arial"/>
        </w:rPr>
        <w:t>The singular number and masculine gender as used herein also mean the plural, feminine or neuter, as is necessary to give the broadest possible scope to each Request.</w:t>
      </w:r>
    </w:p>
    <w:p>
      <w:pPr>
        <w:pStyle w:val="DoubleSpacing"/>
        <w:ind w:firstLine="720" w:end="0"/>
        <w:rPr>
          <w:rFonts w:ascii="Arial" w:hAnsi="Arial" w:cs="Arial"/>
        </w:rPr>
      </w:pPr>
      <w:r>
        <w:rPr>
          <w:rFonts w:cs="Arial" w:ascii="Arial" w:hAnsi="Arial"/>
        </w:rPr>
        <w:t xml:space="preserve">The following definitions apply to each Request for Production of Documents ("Request") herein, and each Request is to be responded to as if these definitions were set forth in full with regard to it: </w:t>
      </w:r>
    </w:p>
    <w:p>
      <w:pPr>
        <w:pStyle w:val="DoubleSpacing"/>
        <w:numPr>
          <w:ilvl w:val="0"/>
          <w:numId w:val="12"/>
        </w:numPr>
        <w:rPr>
          <w:rFonts w:ascii="Arial" w:hAnsi="Arial" w:cs="Arial"/>
        </w:rPr>
      </w:pPr>
      <w:r>
        <w:rPr>
          <w:rFonts w:cs="Arial" w:ascii="Arial" w:hAnsi="Arial"/>
          <w:b/>
        </w:rPr>
        <w:t xml:space="preserve">"DOCUMENT" </w:t>
      </w:r>
      <w:r>
        <w:rPr>
          <w:rFonts w:cs="Arial" w:ascii="Arial" w:hAnsi="Arial"/>
        </w:rPr>
        <w:t>means any written, printed, typed, recorded, magnetic, punched, copied, graphic or other tangible thing in, upon, or from which information may be conveyed, embodied, translated, or stored, including, but not limited to, papers, records, books, telegrams, telexes, dictation or other audio tapes, video tapes, computer tapes, computer disks, computer printouts, microfilm, microfiche, laser disks, diaries, calendars, photographs, charts, viewgraphs, drawings, sketches and all other writings or drafts thereof, as well as any other writings as defined in California Evidence Code Section 250.  This definition expressly includes, without limitation, all originals, drafts, non-conforming copies, reproductions, facsimiles of written, typed or printed material of any kind, books, letters, contracts, minutes of meetings, memoranda, notes on desk calendars and appointment books, canceled checks, invoices, correspondence, telegrams, telex messages, intra-office communications, electronic mail messages, photographs and films, art work and information stored on tape, computer disk or any other type of data storage device.  If copies of a document are not identical by reason of hand notations, initials, identification marks or any other modification, each such non-identical copy is a separate document within the meaning of this definition.</w:t>
      </w:r>
    </w:p>
    <w:p>
      <w:pPr>
        <w:pStyle w:val="DoubleSpacing"/>
        <w:numPr>
          <w:ilvl w:val="0"/>
          <w:numId w:val="12"/>
        </w:numPr>
        <w:rPr>
          <w:rFonts w:ascii="Arial" w:hAnsi="Arial" w:cs="Arial"/>
        </w:rPr>
      </w:pPr>
      <w:r>
        <w:rPr>
          <w:rFonts w:cs="Arial" w:ascii="Arial" w:hAnsi="Arial"/>
          <w:b/>
        </w:rPr>
        <w:t xml:space="preserve">"PERSON" </w:t>
      </w:r>
      <w:r>
        <w:rPr>
          <w:rFonts w:cs="Arial" w:ascii="Arial" w:hAnsi="Arial"/>
        </w:rPr>
        <w:t>means any natural person and any other cognizable entity, including without limitation, corporations, proprietorships, partnership, joint ventures, consortiums, clubs, associations, foundations, governmental agencies or instrumentalities, societies and orders.  As used in the document requests, the acts and knowledge of a "person" are defined to include the acts and knowledge of that person's directors, officers, members, employees, licensees, representatives, agents and attorneys.</w:t>
      </w:r>
    </w:p>
    <w:p>
      <w:pPr>
        <w:pStyle w:val="DoubleSpacing"/>
        <w:numPr>
          <w:ilvl w:val="0"/>
          <w:numId w:val="12"/>
        </w:numPr>
        <w:rPr>
          <w:rFonts w:ascii="Arial" w:hAnsi="Arial" w:cs="Arial"/>
        </w:rPr>
      </w:pPr>
      <w:r>
        <w:rPr>
          <w:rFonts w:cs="Arial" w:ascii="Arial" w:hAnsi="Arial"/>
          <w:b/>
        </w:rPr>
        <w:t>“</w:t>
      </w:r>
      <w:r>
        <w:rPr>
          <w:rFonts w:cs="Arial" w:ascii="Arial" w:hAnsi="Arial"/>
          <w:b/>
        </w:rPr>
        <w:t xml:space="preserve">RESPONDENT” </w:t>
      </w:r>
      <w:r>
        <w:rPr>
          <w:rFonts w:cs="Arial" w:ascii="Arial" w:hAnsi="Arial"/>
        </w:rPr>
        <w:t>refers to the responding party(ies), their predecessor(s) and successor(s) in interest, their agents, employees, servants, officers, representatives, counsel, consultants, parents, subsidiaries or affiliates and anyone else acting on their behalf or at their request.</w:t>
      </w:r>
    </w:p>
    <w:p>
      <w:pPr>
        <w:pStyle w:val="DoubleSpacing"/>
        <w:numPr>
          <w:ilvl w:val="0"/>
          <w:numId w:val="12"/>
        </w:numPr>
        <w:rPr>
          <w:rFonts w:ascii="Arial" w:hAnsi="Arial" w:cs="Arial"/>
        </w:rPr>
      </w:pPr>
      <w:r>
        <w:rPr>
          <w:rFonts w:cs="Arial" w:ascii="Arial" w:hAnsi="Arial"/>
          <w:b/>
        </w:rPr>
        <w:t xml:space="preserve">"RELATE" </w:t>
      </w:r>
      <w:r>
        <w:rPr>
          <w:rFonts w:cs="Arial" w:ascii="Arial" w:hAnsi="Arial"/>
        </w:rPr>
        <w:t xml:space="preserve">and </w:t>
      </w:r>
      <w:r>
        <w:rPr>
          <w:rFonts w:cs="Arial" w:ascii="Arial" w:hAnsi="Arial"/>
          <w:b/>
        </w:rPr>
        <w:t>"RELATING TO"</w:t>
      </w:r>
      <w:r>
        <w:rPr>
          <w:rFonts w:cs="Arial" w:ascii="Arial" w:hAnsi="Arial"/>
        </w:rPr>
        <w:t xml:space="preserve"> mean consisting of, summarizing, identifying, explaining, reflecting, describing, discussing, pertaining to, containing, mentioning, concerning, illustrating, referring to, alluding to, responding to, commenting on, in respect of, about, regarding, discussing, involving, analyzing, constituting or referring to in any way.</w:t>
      </w:r>
    </w:p>
    <w:p>
      <w:pPr>
        <w:pStyle w:val="DoubleSpacing"/>
        <w:numPr>
          <w:ilvl w:val="0"/>
          <w:numId w:val="12"/>
        </w:numPr>
        <w:rPr>
          <w:rFonts w:ascii="Arial" w:hAnsi="Arial" w:cs="Arial"/>
        </w:rPr>
      </w:pPr>
      <w:r>
        <w:rPr>
          <w:rFonts w:cs="Arial" w:ascii="Arial" w:hAnsi="Arial"/>
        </w:rPr>
        <w:t>As used in these documents requests, the singular shall include the plural and the plural shall include the singular whenever necessary to infer the broadest possible meaning to a particular request.</w:t>
      </w:r>
    </w:p>
    <w:p>
      <w:pPr>
        <w:pStyle w:val="DoubleSpacing"/>
        <w:numPr>
          <w:ilvl w:val="0"/>
          <w:numId w:val="12"/>
        </w:numPr>
        <w:rPr>
          <w:rFonts w:ascii="Arial" w:hAnsi="Arial" w:cs="Arial"/>
        </w:rPr>
      </w:pPr>
      <w:r>
        <w:rPr>
          <w:rFonts w:cs="Arial" w:ascii="Arial" w:hAnsi="Arial"/>
          <w:b/>
        </w:rPr>
        <w:t xml:space="preserve">"ANY" </w:t>
      </w:r>
      <w:r>
        <w:rPr>
          <w:rFonts w:cs="Arial" w:ascii="Arial" w:hAnsi="Arial"/>
        </w:rPr>
        <w:t>includes and encompasses "all" and "all" includes and encompasses "any".  "Or" includes and encompasses "and" and "and" includes or encompasses "or."  Each of these terms shall be interpreted to give the broadest possible scope to each Request.</w:t>
      </w:r>
    </w:p>
    <w:p>
      <w:pPr>
        <w:pStyle w:val="Heading4"/>
        <w:ind w:hanging="0" w:start="0"/>
        <w:rPr>
          <w:rFonts w:ascii="Arial" w:hAnsi="Arial" w:cs="Arial"/>
          <w:sz w:val="24"/>
        </w:rPr>
      </w:pPr>
      <w:r>
        <w:rPr>
          <w:rFonts w:cs="Arial" w:ascii="Arial" w:hAnsi="Arial"/>
          <w:sz w:val="24"/>
        </w:rPr>
      </w:r>
    </w:p>
    <w:p>
      <w:pPr>
        <w:pStyle w:val="Heading4"/>
        <w:ind w:hanging="0" w:start="0"/>
        <w:rPr>
          <w:rFonts w:ascii="Arial" w:hAnsi="Arial" w:cs="Arial"/>
          <w:sz w:val="24"/>
          <w:lang w:eastAsia="en-US"/>
        </w:rPr>
      </w:pPr>
      <w:r>
        <w:rPr>
          <w:rFonts w:cs="Arial" w:ascii="Arial" w:hAnsi="Arial"/>
          <w:sz w:val="24"/>
        </w:rPr>
        <w:t>REQUESTS FOR PRODUCTION OF DOCUMENTS</w:t>
      </w:r>
    </w:p>
    <w:p>
      <w:pPr>
        <w:pStyle w:val="Normal"/>
        <w:rPr>
          <w:rFonts w:ascii="Arial" w:hAnsi="Arial" w:cs="Arial"/>
          <w:sz w:val="24"/>
          <w:lang w:eastAsia="en-US"/>
        </w:rPr>
      </w:pPr>
      <w:r>
        <w:rPr>
          <w:rFonts w:cs="Arial" w:ascii="Arial" w:hAnsi="Arial"/>
          <w:sz w:val="24"/>
          <w:lang w:eastAsia="en-US"/>
        </w:rPr>
        <w:t>The CPUC requests that Respondent provide the following documents:</w:t>
      </w:r>
    </w:p>
    <w:p>
      <w:pPr>
        <w:pStyle w:val="Heading2"/>
        <w:keepNext w:val="false"/>
        <w:numPr>
          <w:ilvl w:val="0"/>
          <w:numId w:val="6"/>
        </w:numPr>
        <w:rPr>
          <w:rFonts w:ascii="Arial" w:hAnsi="Arial" w:cs="Arial"/>
          <w:sz w:val="24"/>
          <w:lang w:eastAsia="en-US"/>
        </w:rPr>
      </w:pPr>
      <w:r>
        <w:rPr>
          <w:rFonts w:cs="Arial" w:ascii="Arial" w:hAnsi="Arial"/>
          <w:sz w:val="24"/>
          <w:lang w:eastAsia="en-US"/>
        </w:rPr>
        <w:t>Any corporate organization charts prepared since April 1, 1998.</w:t>
      </w:r>
    </w:p>
    <w:p>
      <w:pPr>
        <w:pStyle w:val="Heading2"/>
        <w:keepNext w:val="false"/>
        <w:numPr>
          <w:ilvl w:val="0"/>
          <w:numId w:val="6"/>
        </w:numPr>
        <w:rPr>
          <w:rFonts w:ascii="Arial" w:hAnsi="Arial" w:cs="Arial"/>
          <w:sz w:val="24"/>
        </w:rPr>
      </w:pPr>
      <w:r>
        <w:rPr>
          <w:rFonts w:cs="Arial" w:ascii="Arial" w:hAnsi="Arial"/>
          <w:sz w:val="24"/>
        </w:rPr>
        <w:t>Any corporate telephone directories prepared since April 1, 1998.</w:t>
      </w:r>
    </w:p>
    <w:p>
      <w:pPr>
        <w:pStyle w:val="Heading2"/>
        <w:keepNext w:val="false"/>
        <w:numPr>
          <w:ilvl w:val="0"/>
          <w:numId w:val="6"/>
        </w:numPr>
        <w:rPr>
          <w:rFonts w:ascii="Arial" w:hAnsi="Arial" w:cs="Arial"/>
          <w:sz w:val="24"/>
          <w:lang w:eastAsia="en-US"/>
        </w:rPr>
      </w:pPr>
      <w:r>
        <w:rPr>
          <w:rFonts w:cs="Arial" w:ascii="Arial" w:hAnsi="Arial"/>
          <w:sz w:val="24"/>
          <w:lang w:eastAsia="en-US"/>
        </w:rPr>
        <w:t>Any corporate histories for respondent.</w:t>
      </w:r>
    </w:p>
    <w:p>
      <w:pPr>
        <w:pStyle w:val="Heading2"/>
        <w:keepNext w:val="false"/>
        <w:numPr>
          <w:ilvl w:val="0"/>
          <w:numId w:val="6"/>
        </w:numPr>
        <w:rPr>
          <w:rFonts w:ascii="Arial" w:hAnsi="Arial" w:cs="Arial"/>
          <w:sz w:val="24"/>
        </w:rPr>
      </w:pPr>
      <w:r>
        <w:rPr>
          <w:rFonts w:cs="Arial" w:ascii="Arial" w:hAnsi="Arial"/>
          <w:sz w:val="24"/>
          <w:lang w:eastAsia="en-US"/>
        </w:rPr>
        <w:t xml:space="preserve">Any documents, including what are commonly called “family trees,” describing the relationship between respondent and </w:t>
      </w:r>
      <w:r>
        <w:rPr>
          <w:rFonts w:cs="Arial" w:ascii="Arial" w:hAnsi="Arial"/>
          <w:sz w:val="24"/>
        </w:rPr>
        <w:t>all relevant affiliates (e.g. generation LLCs, marketing affiliates, corporate parents, others).</w:t>
      </w:r>
    </w:p>
    <w:p>
      <w:pPr>
        <w:pStyle w:val="Heading2"/>
        <w:keepNext w:val="false"/>
        <w:numPr>
          <w:ilvl w:val="0"/>
          <w:numId w:val="6"/>
        </w:numPr>
        <w:rPr>
          <w:rFonts w:ascii="Arial" w:hAnsi="Arial" w:cs="Arial"/>
          <w:sz w:val="24"/>
        </w:rPr>
      </w:pPr>
      <w:r>
        <w:rPr>
          <w:rFonts w:cs="Arial" w:ascii="Arial" w:hAnsi="Arial"/>
          <w:sz w:val="24"/>
        </w:rPr>
        <w:t>Any documents related to respondent’s role as scheduling coordinator and/or marketer for any entity.</w:t>
      </w:r>
    </w:p>
    <w:p>
      <w:pPr>
        <w:pStyle w:val="Heading2"/>
        <w:keepNext w:val="false"/>
        <w:numPr>
          <w:ilvl w:val="0"/>
          <w:numId w:val="6"/>
        </w:numPr>
        <w:rPr>
          <w:rFonts w:ascii="Arial" w:hAnsi="Arial" w:cs="Arial"/>
          <w:sz w:val="24"/>
        </w:rPr>
      </w:pPr>
      <w:r>
        <w:rPr>
          <w:rFonts w:cs="Arial" w:ascii="Arial" w:hAnsi="Arial"/>
          <w:sz w:val="24"/>
        </w:rPr>
        <w:t>Any documents related to respondent’s relationship with the owner or operator of any electric generating unit located in the WSCC region.</w:t>
      </w:r>
    </w:p>
    <w:p>
      <w:pPr>
        <w:pStyle w:val="Heading2"/>
        <w:keepNext w:val="false"/>
        <w:numPr>
          <w:ilvl w:val="0"/>
          <w:numId w:val="6"/>
        </w:numPr>
        <w:rPr>
          <w:rFonts w:ascii="Arial" w:hAnsi="Arial" w:cs="Arial"/>
          <w:sz w:val="24"/>
          <w:lang w:eastAsia="en-US"/>
        </w:rPr>
      </w:pPr>
      <w:r>
        <w:rPr>
          <w:rFonts w:cs="Arial" w:ascii="Arial" w:hAnsi="Arial"/>
          <w:sz w:val="24"/>
          <w:lang w:eastAsia="en-US"/>
        </w:rPr>
        <w:t>Any Profit and Loss (“P&amp;L”) statements since April 1, 1998.</w:t>
      </w:r>
    </w:p>
    <w:p>
      <w:pPr>
        <w:pStyle w:val="Heading2"/>
        <w:keepNext w:val="false"/>
        <w:numPr>
          <w:ilvl w:val="0"/>
          <w:numId w:val="6"/>
        </w:numPr>
        <w:rPr>
          <w:rFonts w:ascii="Arial" w:hAnsi="Arial" w:cs="Arial"/>
          <w:sz w:val="24"/>
        </w:rPr>
      </w:pPr>
      <w:r>
        <w:rPr>
          <w:rFonts w:cs="Arial" w:ascii="Arial" w:hAnsi="Arial"/>
          <w:sz w:val="24"/>
          <w:lang w:eastAsia="en-US"/>
        </w:rPr>
        <w:t xml:space="preserve">Any </w:t>
      </w:r>
      <w:r>
        <w:rPr>
          <w:rFonts w:cs="Arial" w:ascii="Arial" w:hAnsi="Arial"/>
          <w:sz w:val="24"/>
        </w:rPr>
        <w:t>Documents showing Quarterly profits of respondent covering the period since April 1, 1998.</w:t>
      </w:r>
    </w:p>
    <w:p>
      <w:pPr>
        <w:pStyle w:val="Heading2"/>
        <w:keepNext w:val="false"/>
        <w:numPr>
          <w:ilvl w:val="0"/>
          <w:numId w:val="6"/>
        </w:numPr>
        <w:rPr>
          <w:rFonts w:ascii="Arial" w:hAnsi="Arial" w:cs="Arial"/>
          <w:sz w:val="24"/>
        </w:rPr>
      </w:pPr>
      <w:r>
        <w:rPr>
          <w:rFonts w:cs="Arial" w:ascii="Arial" w:hAnsi="Arial"/>
          <w:sz w:val="24"/>
        </w:rPr>
        <w:t>Any Unconsolidated Income Statements for respondent covering the period since April 1, 1998.</w:t>
      </w:r>
    </w:p>
    <w:p>
      <w:pPr>
        <w:pStyle w:val="Heading2"/>
        <w:keepNext w:val="false"/>
        <w:numPr>
          <w:ilvl w:val="0"/>
          <w:numId w:val="6"/>
        </w:numPr>
        <w:rPr>
          <w:rFonts w:ascii="Arial" w:hAnsi="Arial" w:cs="Arial"/>
          <w:sz w:val="24"/>
        </w:rPr>
      </w:pPr>
      <w:r>
        <w:rPr>
          <w:rFonts w:cs="Arial" w:ascii="Arial" w:hAnsi="Arial"/>
          <w:sz w:val="24"/>
          <w:lang w:eastAsia="en-US"/>
        </w:rPr>
        <w:t xml:space="preserve">Balance Sheets </w:t>
      </w:r>
      <w:r>
        <w:rPr>
          <w:rFonts w:cs="Arial" w:ascii="Arial" w:hAnsi="Arial"/>
          <w:sz w:val="24"/>
        </w:rPr>
        <w:t>of respondent since April 1, 1998.</w:t>
      </w:r>
    </w:p>
    <w:p>
      <w:pPr>
        <w:pStyle w:val="Heading2"/>
        <w:keepNext w:val="false"/>
        <w:numPr>
          <w:ilvl w:val="0"/>
          <w:numId w:val="6"/>
        </w:numPr>
        <w:rPr>
          <w:rFonts w:ascii="Arial" w:hAnsi="Arial" w:cs="Arial"/>
          <w:sz w:val="24"/>
        </w:rPr>
      </w:pPr>
      <w:r>
        <w:rPr>
          <w:rFonts w:cs="Arial" w:ascii="Arial" w:hAnsi="Arial"/>
          <w:sz w:val="24"/>
          <w:lang w:eastAsia="en-US"/>
        </w:rPr>
        <w:t>Any d</w:t>
      </w:r>
      <w:r>
        <w:rPr>
          <w:rFonts w:cs="Arial" w:ascii="Arial" w:hAnsi="Arial"/>
          <w:sz w:val="24"/>
        </w:rPr>
        <w:t xml:space="preserve">ocuments containing, or pertaining to, forecasts or estimates of revenues for </w:t>
      </w:r>
      <w:r>
        <w:rPr>
          <w:rFonts w:cs="Arial" w:ascii="Arial" w:hAnsi="Arial"/>
          <w:sz w:val="24"/>
          <w:lang w:eastAsia="en-US"/>
        </w:rPr>
        <w:t>respondent since April 1, 1998</w:t>
      </w:r>
    </w:p>
    <w:p>
      <w:pPr>
        <w:pStyle w:val="Heading2"/>
        <w:keepNext w:val="false"/>
        <w:numPr>
          <w:ilvl w:val="0"/>
          <w:numId w:val="6"/>
        </w:numPr>
        <w:rPr>
          <w:rFonts w:ascii="Arial" w:hAnsi="Arial" w:cs="Arial"/>
          <w:sz w:val="24"/>
          <w:lang w:eastAsia="en-US"/>
        </w:rPr>
      </w:pPr>
      <w:r>
        <w:rPr>
          <w:rFonts w:cs="Arial" w:ascii="Arial" w:hAnsi="Arial"/>
          <w:sz w:val="24"/>
        </w:rPr>
        <w:t>For each generating unit located in California or the WSCC region over which respondent has acquired control (e.g., purchased, leased, acted as scheduling coordinator, or otherwise possessed the right to use or resell generation output), please provide the following documents for the period since the later of April 1, 1998, or the date respondent acquired control of the unit(s):</w:t>
      </w:r>
    </w:p>
    <w:p>
      <w:pPr>
        <w:pStyle w:val="Normal"/>
        <w:numPr>
          <w:ilvl w:val="0"/>
          <w:numId w:val="24"/>
        </w:numPr>
        <w:tabs>
          <w:tab w:val="clear" w:pos="720"/>
          <w:tab w:val="left" w:pos="740" w:leader="none"/>
        </w:tabs>
        <w:ind w:hanging="360" w:start="740" w:end="0"/>
        <w:rPr>
          <w:rFonts w:ascii="Arial" w:hAnsi="Arial" w:cs="Arial"/>
          <w:sz w:val="24"/>
          <w:lang w:eastAsia="en-US"/>
        </w:rPr>
      </w:pPr>
      <w:r>
        <w:rPr>
          <w:rFonts w:cs="Arial" w:ascii="Arial" w:hAnsi="Arial"/>
          <w:sz w:val="24"/>
          <w:lang w:eastAsia="en-US"/>
        </w:rPr>
        <w:t xml:space="preserve">Any documents pertaining to scheduled and forced maintenance for each unit; </w:t>
      </w:r>
    </w:p>
    <w:p>
      <w:pPr>
        <w:pStyle w:val="Normal"/>
        <w:numPr>
          <w:ilvl w:val="0"/>
          <w:numId w:val="10"/>
        </w:numPr>
        <w:tabs>
          <w:tab w:val="clear" w:pos="720"/>
          <w:tab w:val="left" w:pos="740" w:leader="none"/>
        </w:tabs>
        <w:ind w:hanging="360" w:start="740" w:end="0"/>
        <w:rPr>
          <w:rFonts w:ascii="Arial" w:hAnsi="Arial" w:cs="Arial"/>
          <w:sz w:val="24"/>
          <w:lang w:eastAsia="en-US"/>
        </w:rPr>
      </w:pPr>
      <w:r>
        <w:rPr>
          <w:rFonts w:cs="Arial" w:ascii="Arial" w:hAnsi="Arial"/>
          <w:sz w:val="24"/>
          <w:lang w:eastAsia="en-US"/>
        </w:rPr>
        <w:t xml:space="preserve">Documents that refer or relate to expenditures on maintenance. </w:t>
      </w:r>
    </w:p>
    <w:p>
      <w:pPr>
        <w:pStyle w:val="Normal"/>
        <w:numPr>
          <w:ilvl w:val="0"/>
          <w:numId w:val="16"/>
        </w:numPr>
        <w:tabs>
          <w:tab w:val="clear" w:pos="720"/>
          <w:tab w:val="left" w:pos="740" w:leader="none"/>
        </w:tabs>
        <w:ind w:hanging="360" w:start="740" w:end="0"/>
        <w:rPr>
          <w:rFonts w:ascii="Arial" w:hAnsi="Arial" w:cs="Arial"/>
          <w:sz w:val="24"/>
          <w:lang w:eastAsia="en-US"/>
        </w:rPr>
      </w:pPr>
      <w:r>
        <w:rPr>
          <w:rFonts w:cs="Arial" w:ascii="Arial" w:hAnsi="Arial"/>
          <w:sz w:val="24"/>
          <w:lang w:eastAsia="en-US"/>
        </w:rPr>
        <w:t>Any documents showing the availability of each unit.</w:t>
      </w:r>
    </w:p>
    <w:p>
      <w:pPr>
        <w:pStyle w:val="Normal"/>
        <w:rPr>
          <w:rFonts w:ascii="Arial" w:hAnsi="Arial" w:cs="Arial"/>
          <w:sz w:val="24"/>
          <w:lang w:eastAsia="en-US"/>
        </w:rPr>
      </w:pPr>
      <w:r>
        <w:rPr>
          <w:rFonts w:cs="Arial" w:ascii="Arial" w:hAnsi="Arial"/>
          <w:sz w:val="24"/>
          <w:lang w:eastAsia="en-US"/>
        </w:rPr>
      </w:r>
    </w:p>
    <w:p>
      <w:pPr>
        <w:pStyle w:val="Normal"/>
        <w:numPr>
          <w:ilvl w:val="0"/>
          <w:numId w:val="6"/>
        </w:numPr>
        <w:rPr>
          <w:rFonts w:ascii="Arial" w:hAnsi="Arial" w:cs="Arial"/>
          <w:sz w:val="24"/>
          <w:lang w:eastAsia="en-US"/>
        </w:rPr>
      </w:pPr>
      <w:r>
        <w:rPr>
          <w:rFonts w:cs="Arial" w:ascii="Arial" w:hAnsi="Arial"/>
          <w:sz w:val="24"/>
          <w:lang w:eastAsia="en-US"/>
        </w:rPr>
        <w:t>Any d</w:t>
      </w:r>
      <w:r>
        <w:rPr>
          <w:rFonts w:cs="Arial" w:ascii="Arial" w:hAnsi="Arial"/>
          <w:sz w:val="24"/>
        </w:rPr>
        <w:t>ocuments reflecting dates, quantities, prices, and, for each transaction, identification of buyers (including identification of all buyers that are affiliated with respondent) with respect to all sales made by each entity or any of their affiliates to any California buyer, including the PX, the ISO, or any re-seller or end-user located in California, since the later of April 1, 1998, or the date respondent acquired control of (e.g., purchased, leased, acted as scheduling coordinator, or otherwise possessed the right to use or resell generation output) a generating unit(s) in California or the WSCC region.  Sales information (including price, quantity, date) should reflect any sales or transfers to or through the following:</w:t>
      </w:r>
    </w:p>
    <w:p>
      <w:pPr>
        <w:pStyle w:val="Normal"/>
        <w:numPr>
          <w:ilvl w:val="0"/>
          <w:numId w:val="19"/>
        </w:numPr>
        <w:tabs>
          <w:tab w:val="left" w:pos="720" w:leader="none"/>
        </w:tabs>
        <w:ind w:hanging="360" w:start="720" w:end="0"/>
        <w:rPr>
          <w:rFonts w:ascii="Arial" w:hAnsi="Arial" w:cs="Arial"/>
          <w:sz w:val="24"/>
          <w:lang w:eastAsia="en-US"/>
        </w:rPr>
      </w:pPr>
      <w:r>
        <w:rPr>
          <w:rFonts w:cs="Arial" w:ascii="Arial" w:hAnsi="Arial"/>
          <w:sz w:val="24"/>
          <w:lang w:eastAsia="en-US"/>
        </w:rPr>
        <w:t>CTS Block Forward Markets</w:t>
      </w:r>
    </w:p>
    <w:p>
      <w:pPr>
        <w:pStyle w:val="Normal"/>
        <w:numPr>
          <w:ilvl w:val="0"/>
          <w:numId w:val="11"/>
        </w:numPr>
        <w:tabs>
          <w:tab w:val="left" w:pos="720" w:leader="none"/>
        </w:tabs>
        <w:ind w:hanging="360" w:start="720" w:end="0"/>
        <w:rPr>
          <w:rFonts w:ascii="Arial" w:hAnsi="Arial" w:cs="Arial"/>
          <w:sz w:val="24"/>
          <w:lang w:eastAsia="en-US"/>
        </w:rPr>
      </w:pPr>
      <w:r>
        <w:rPr>
          <w:rFonts w:cs="Arial" w:ascii="Arial" w:hAnsi="Arial"/>
          <w:sz w:val="24"/>
          <w:lang w:eastAsia="en-US"/>
        </w:rPr>
        <w:t>PX Markets</w:t>
      </w:r>
    </w:p>
    <w:p>
      <w:pPr>
        <w:pStyle w:val="Normal"/>
        <w:numPr>
          <w:ilvl w:val="0"/>
          <w:numId w:val="25"/>
        </w:numPr>
        <w:tabs>
          <w:tab w:val="left" w:pos="720" w:leader="none"/>
        </w:tabs>
        <w:ind w:hanging="360" w:start="720" w:end="0"/>
        <w:rPr>
          <w:rFonts w:ascii="Arial" w:hAnsi="Arial" w:cs="Arial"/>
          <w:sz w:val="24"/>
          <w:lang w:eastAsia="en-US"/>
        </w:rPr>
      </w:pPr>
      <w:r>
        <w:rPr>
          <w:rFonts w:cs="Arial" w:ascii="Arial" w:hAnsi="Arial"/>
          <w:sz w:val="24"/>
          <w:lang w:eastAsia="en-US"/>
        </w:rPr>
        <w:t>ISO Markets</w:t>
      </w:r>
    </w:p>
    <w:p>
      <w:pPr>
        <w:pStyle w:val="Normal"/>
        <w:numPr>
          <w:ilvl w:val="0"/>
          <w:numId w:val="21"/>
        </w:numPr>
        <w:tabs>
          <w:tab w:val="left" w:pos="720" w:leader="none"/>
        </w:tabs>
        <w:ind w:hanging="360" w:start="720" w:end="0"/>
        <w:rPr>
          <w:rFonts w:ascii="Arial" w:hAnsi="Arial" w:cs="Arial"/>
          <w:sz w:val="24"/>
          <w:lang w:eastAsia="en-US"/>
        </w:rPr>
      </w:pPr>
      <w:r>
        <w:rPr>
          <w:rFonts w:cs="Arial" w:ascii="Arial" w:hAnsi="Arial"/>
          <w:sz w:val="24"/>
          <w:lang w:eastAsia="en-US"/>
        </w:rPr>
        <w:t>Bilateral Markets (e.g., Palo Verde)</w:t>
      </w:r>
    </w:p>
    <w:p>
      <w:pPr>
        <w:pStyle w:val="Normal"/>
        <w:numPr>
          <w:ilvl w:val="0"/>
          <w:numId w:val="5"/>
        </w:numPr>
        <w:tabs>
          <w:tab w:val="left" w:pos="720" w:leader="none"/>
        </w:tabs>
        <w:ind w:hanging="360" w:start="720" w:end="0"/>
        <w:rPr>
          <w:rFonts w:ascii="Arial" w:hAnsi="Arial" w:cs="Arial"/>
          <w:sz w:val="24"/>
          <w:lang w:eastAsia="en-US"/>
        </w:rPr>
      </w:pPr>
      <w:r>
        <w:rPr>
          <w:rFonts w:cs="Arial" w:ascii="Arial" w:hAnsi="Arial"/>
          <w:sz w:val="24"/>
          <w:lang w:eastAsia="en-US"/>
        </w:rPr>
        <w:t>Bilateral Contracts</w:t>
      </w:r>
    </w:p>
    <w:p>
      <w:pPr>
        <w:pStyle w:val="Heading2"/>
        <w:keepNext w:val="false"/>
        <w:numPr>
          <w:ilvl w:val="0"/>
          <w:numId w:val="6"/>
        </w:numPr>
        <w:rPr>
          <w:rFonts w:ascii="Arial" w:hAnsi="Arial" w:cs="Arial"/>
          <w:sz w:val="24"/>
          <w:lang w:eastAsia="en-US"/>
        </w:rPr>
      </w:pPr>
      <w:r>
        <w:rPr>
          <w:rFonts w:cs="Arial" w:ascii="Arial" w:hAnsi="Arial"/>
          <w:sz w:val="24"/>
        </w:rPr>
        <w:t>For each generating unit located in California or the WSCC region over which respondent has control (e.g., purchased, leased, acted as scheduling coordinator, or otherwise possessed the right to use or resell generation output), please provide the following documents for the period since later of April 1, 1998 or the date respondent acquired control of the unit(s):</w:t>
      </w:r>
    </w:p>
    <w:p>
      <w:pPr>
        <w:pStyle w:val="Normal"/>
        <w:numPr>
          <w:ilvl w:val="0"/>
          <w:numId w:val="17"/>
        </w:numPr>
        <w:tabs>
          <w:tab w:val="left" w:pos="720" w:leader="none"/>
        </w:tabs>
        <w:ind w:hanging="360" w:start="720" w:end="0"/>
        <w:rPr>
          <w:rFonts w:ascii="Arial" w:hAnsi="Arial" w:cs="Arial"/>
          <w:sz w:val="24"/>
          <w:lang w:eastAsia="en-US"/>
        </w:rPr>
      </w:pPr>
      <w:r>
        <w:rPr>
          <w:rFonts w:cs="Arial" w:ascii="Arial" w:hAnsi="Arial"/>
          <w:sz w:val="24"/>
          <w:lang w:eastAsia="en-US"/>
        </w:rPr>
        <w:t>Dispatch notices received from the ISO;</w:t>
      </w:r>
    </w:p>
    <w:p>
      <w:pPr>
        <w:pStyle w:val="Normal"/>
        <w:numPr>
          <w:ilvl w:val="0"/>
          <w:numId w:val="27"/>
        </w:numPr>
        <w:tabs>
          <w:tab w:val="left" w:pos="720" w:leader="none"/>
        </w:tabs>
        <w:ind w:hanging="360" w:start="720" w:end="0"/>
        <w:rPr>
          <w:rFonts w:ascii="Arial" w:hAnsi="Arial" w:cs="Arial"/>
          <w:sz w:val="24"/>
          <w:lang w:eastAsia="en-US"/>
        </w:rPr>
      </w:pPr>
      <w:r>
        <w:rPr>
          <w:rFonts w:cs="Arial" w:ascii="Arial" w:hAnsi="Arial"/>
          <w:sz w:val="24"/>
          <w:lang w:eastAsia="en-US"/>
        </w:rPr>
        <w:t>Day ahead schedules for each unit;</w:t>
      </w:r>
    </w:p>
    <w:p>
      <w:pPr>
        <w:pStyle w:val="Normal"/>
        <w:numPr>
          <w:ilvl w:val="0"/>
          <w:numId w:val="20"/>
        </w:numPr>
        <w:tabs>
          <w:tab w:val="left" w:pos="720" w:leader="none"/>
        </w:tabs>
        <w:ind w:hanging="360" w:start="720" w:end="0"/>
        <w:rPr>
          <w:rFonts w:ascii="Arial" w:hAnsi="Arial" w:cs="Arial"/>
          <w:sz w:val="24"/>
          <w:lang w:eastAsia="en-US"/>
        </w:rPr>
      </w:pPr>
      <w:r>
        <w:rPr>
          <w:rFonts w:cs="Arial" w:ascii="Arial" w:hAnsi="Arial"/>
          <w:sz w:val="24"/>
          <w:lang w:eastAsia="en-US"/>
        </w:rPr>
        <w:t>Hour ahead schedules for each unit;</w:t>
      </w:r>
    </w:p>
    <w:p>
      <w:pPr>
        <w:pStyle w:val="Normal"/>
        <w:numPr>
          <w:ilvl w:val="0"/>
          <w:numId w:val="4"/>
        </w:numPr>
        <w:tabs>
          <w:tab w:val="left" w:pos="720" w:leader="none"/>
        </w:tabs>
        <w:ind w:hanging="360" w:start="720" w:end="0"/>
        <w:rPr>
          <w:rFonts w:ascii="Arial" w:hAnsi="Arial" w:cs="Arial"/>
          <w:sz w:val="24"/>
          <w:lang w:eastAsia="en-US"/>
        </w:rPr>
      </w:pPr>
      <w:r>
        <w:rPr>
          <w:rFonts w:cs="Arial" w:ascii="Arial" w:hAnsi="Arial"/>
          <w:sz w:val="24"/>
          <w:lang w:eastAsia="en-US"/>
        </w:rPr>
        <w:t>Instructed deviations for each unit;</w:t>
      </w:r>
    </w:p>
    <w:p>
      <w:pPr>
        <w:pStyle w:val="Normal"/>
        <w:numPr>
          <w:ilvl w:val="0"/>
          <w:numId w:val="8"/>
        </w:numPr>
        <w:tabs>
          <w:tab w:val="left" w:pos="720" w:leader="none"/>
        </w:tabs>
        <w:ind w:hanging="360" w:start="720" w:end="0"/>
        <w:rPr>
          <w:rFonts w:ascii="Arial" w:hAnsi="Arial" w:cs="Arial"/>
          <w:sz w:val="24"/>
          <w:lang w:eastAsia="en-US"/>
        </w:rPr>
      </w:pPr>
      <w:r>
        <w:rPr>
          <w:rFonts w:cs="Arial" w:ascii="Arial" w:hAnsi="Arial"/>
          <w:sz w:val="24"/>
          <w:lang w:eastAsia="en-US"/>
        </w:rPr>
        <w:t>Any documents related to any RMR calls for which respondent failed to provided requested energy;</w:t>
      </w:r>
    </w:p>
    <w:p>
      <w:pPr>
        <w:pStyle w:val="Normal"/>
        <w:numPr>
          <w:ilvl w:val="0"/>
          <w:numId w:val="26"/>
        </w:numPr>
        <w:tabs>
          <w:tab w:val="left" w:pos="720" w:leader="none"/>
        </w:tabs>
        <w:ind w:hanging="360" w:start="720" w:end="0"/>
        <w:rPr>
          <w:rFonts w:ascii="Arial" w:hAnsi="Arial" w:cs="Arial"/>
          <w:sz w:val="24"/>
          <w:lang w:eastAsia="en-US"/>
        </w:rPr>
      </w:pPr>
      <w:r>
        <w:rPr>
          <w:rFonts w:cs="Arial" w:ascii="Arial" w:hAnsi="Arial"/>
          <w:sz w:val="24"/>
          <w:lang w:eastAsia="en-US"/>
        </w:rPr>
        <w:t>Documents, in your control, related to actual hourly output for every unit;</w:t>
      </w:r>
    </w:p>
    <w:p>
      <w:pPr>
        <w:pStyle w:val="Normal"/>
        <w:numPr>
          <w:ilvl w:val="0"/>
          <w:numId w:val="15"/>
        </w:numPr>
        <w:tabs>
          <w:tab w:val="left" w:pos="720" w:leader="none"/>
        </w:tabs>
        <w:ind w:hanging="360" w:start="720" w:end="0"/>
        <w:rPr>
          <w:rFonts w:ascii="Arial" w:hAnsi="Arial" w:cs="Arial"/>
          <w:sz w:val="24"/>
          <w:lang w:eastAsia="en-US"/>
        </w:rPr>
      </w:pPr>
      <w:r>
        <w:rPr>
          <w:rFonts w:cs="Arial" w:ascii="Arial" w:hAnsi="Arial"/>
          <w:sz w:val="24"/>
          <w:lang w:eastAsia="en-US"/>
        </w:rPr>
        <w:t>All Settlement statements.</w:t>
      </w:r>
    </w:p>
    <w:p>
      <w:pPr>
        <w:pStyle w:val="Heading2"/>
        <w:keepNext w:val="false"/>
        <w:numPr>
          <w:ilvl w:val="0"/>
          <w:numId w:val="6"/>
        </w:numPr>
        <w:rPr>
          <w:rFonts w:ascii="Arial" w:hAnsi="Arial" w:cs="Arial"/>
          <w:sz w:val="24"/>
          <w:lang w:eastAsia="en-US"/>
        </w:rPr>
      </w:pPr>
      <w:r>
        <w:rPr>
          <w:rFonts w:cs="Arial" w:ascii="Arial" w:hAnsi="Arial"/>
          <w:sz w:val="24"/>
          <w:lang w:eastAsia="en-US"/>
        </w:rPr>
        <w:t xml:space="preserve">For any sales of energy or ancillary services outside of California from </w:t>
      </w:r>
      <w:r>
        <w:rPr>
          <w:rFonts w:cs="Arial" w:ascii="Arial" w:hAnsi="Arial"/>
          <w:sz w:val="24"/>
        </w:rPr>
        <w:t>each generating unit located in California over which respondent has acquired control (e.g., purchased, leased, acted as scheduling coordinator, or otherwise possessed the right to use or resell generation output)</w:t>
      </w:r>
      <w:r>
        <w:rPr>
          <w:rFonts w:cs="Arial" w:ascii="Arial" w:hAnsi="Arial"/>
          <w:sz w:val="24"/>
          <w:lang w:eastAsia="en-US"/>
        </w:rPr>
        <w:t xml:space="preserve">, please provide all documents related to or reflecting the following information: </w:t>
      </w:r>
    </w:p>
    <w:p>
      <w:pPr>
        <w:pStyle w:val="Normal"/>
        <w:numPr>
          <w:ilvl w:val="0"/>
          <w:numId w:val="14"/>
        </w:numPr>
        <w:tabs>
          <w:tab w:val="left" w:pos="720" w:leader="none"/>
        </w:tabs>
        <w:ind w:hanging="360" w:start="720" w:end="0"/>
        <w:rPr>
          <w:rFonts w:ascii="Arial" w:hAnsi="Arial" w:cs="Arial"/>
          <w:sz w:val="24"/>
          <w:lang w:eastAsia="en-US"/>
        </w:rPr>
      </w:pPr>
      <w:r>
        <w:rPr>
          <w:rFonts w:cs="Arial" w:ascii="Arial" w:hAnsi="Arial"/>
          <w:sz w:val="24"/>
        </w:rPr>
        <w:t>dates, quantities, prices, and, for each transaction, identification of buyers (including identification of any affiliated buyers) with respect to all exports made by each entity or any of their affiliates since May 1, 1999;</w:t>
      </w:r>
    </w:p>
    <w:p>
      <w:pPr>
        <w:pStyle w:val="Normal"/>
        <w:numPr>
          <w:ilvl w:val="0"/>
          <w:numId w:val="2"/>
        </w:numPr>
        <w:tabs>
          <w:tab w:val="left" w:pos="720" w:leader="none"/>
        </w:tabs>
        <w:ind w:hanging="360" w:start="720" w:end="0"/>
        <w:rPr>
          <w:rFonts w:ascii="Arial" w:hAnsi="Arial" w:cs="Arial"/>
          <w:sz w:val="24"/>
          <w:lang w:eastAsia="en-US"/>
        </w:rPr>
      </w:pPr>
      <w:r>
        <w:rPr>
          <w:rFonts w:cs="Arial" w:ascii="Arial" w:hAnsi="Arial"/>
          <w:sz w:val="24"/>
        </w:rPr>
        <w:t>whether, and if so when and at what price such exports were re-sold into California, documentation should include date, quantity, price, buyer and market, if applicable;</w:t>
      </w:r>
    </w:p>
    <w:p>
      <w:pPr>
        <w:pStyle w:val="Normal"/>
        <w:numPr>
          <w:ilvl w:val="0"/>
          <w:numId w:val="9"/>
        </w:numPr>
        <w:tabs>
          <w:tab w:val="left" w:pos="720" w:leader="none"/>
        </w:tabs>
        <w:ind w:hanging="360" w:start="720" w:end="0"/>
        <w:rPr>
          <w:rFonts w:ascii="Arial" w:hAnsi="Arial" w:cs="Arial"/>
          <w:sz w:val="24"/>
          <w:lang w:eastAsia="en-US"/>
        </w:rPr>
      </w:pPr>
      <w:r>
        <w:rPr>
          <w:rFonts w:cs="Arial" w:ascii="Arial" w:hAnsi="Arial"/>
          <w:sz w:val="24"/>
        </w:rPr>
        <w:t>dates, quantities, prices, and, for each transaction,  identification of buyers (including identification of any affiliated buyers) with respect to all proposed exports foregone by each entity or any of their affiliates since May 1, 1999, due to an alleged concern over curtailment of the proposed export.</w:t>
      </w:r>
    </w:p>
    <w:p>
      <w:pPr>
        <w:pStyle w:val="Heading2"/>
        <w:keepNext w:val="false"/>
        <w:numPr>
          <w:ilvl w:val="0"/>
          <w:numId w:val="6"/>
        </w:numPr>
        <w:rPr>
          <w:rFonts w:ascii="Arial" w:hAnsi="Arial" w:cs="Arial"/>
          <w:sz w:val="24"/>
          <w:lang w:eastAsia="en-US"/>
        </w:rPr>
      </w:pPr>
      <w:r>
        <w:rPr>
          <w:rFonts w:cs="Arial" w:ascii="Arial" w:hAnsi="Arial"/>
          <w:sz w:val="24"/>
          <w:lang w:eastAsia="en-US"/>
        </w:rPr>
        <w:t xml:space="preserve">Please provide all documents pertaining to or related to any contracts or other agreements between respondent and any purchaser or seller for the purchase or sale of energy or capacity in the WSCC region since April 1, 1998.  Said documents should include the term of the contract or agreement, the name of buyer/seller, quantity, price, relevant receipt and/or delivery points and whether the buyer/seller is affiliated with respondent. </w:t>
      </w:r>
    </w:p>
    <w:p>
      <w:pPr>
        <w:pStyle w:val="Heading2"/>
        <w:keepNext w:val="false"/>
        <w:numPr>
          <w:ilvl w:val="0"/>
          <w:numId w:val="6"/>
        </w:numPr>
        <w:rPr>
          <w:rFonts w:ascii="Arial" w:hAnsi="Arial" w:cs="Arial"/>
          <w:sz w:val="24"/>
          <w:lang w:eastAsia="en-US"/>
        </w:rPr>
      </w:pPr>
      <w:r>
        <w:rPr>
          <w:rFonts w:cs="Arial" w:ascii="Arial" w:hAnsi="Arial"/>
          <w:sz w:val="24"/>
          <w:lang w:eastAsia="en-US"/>
        </w:rPr>
        <w:t xml:space="preserve">Please provide all documents pertaining to or related to any “scheduling coordinator transfers”, “Inter-SC trades”, “spread transactions” or other agreements between respondent and any purchaser/seller/counterparty for the purchase, sale or transfer of energy or capacity in the WSCC region since April 1, 1998.  Said documents should include the term of the contract, trade, transfer or agreement, the name of buyer/seller/counterparty, quantity, price, relevant receipt and/or delivery points and whether the buyer/seller/ counterparty is affiliated with respondent.  </w:t>
      </w:r>
    </w:p>
    <w:p>
      <w:pPr>
        <w:pStyle w:val="Heading2"/>
        <w:keepNext w:val="false"/>
        <w:numPr>
          <w:ilvl w:val="0"/>
          <w:numId w:val="6"/>
        </w:numPr>
        <w:rPr>
          <w:rFonts w:ascii="Arial" w:hAnsi="Arial" w:cs="Arial"/>
          <w:sz w:val="24"/>
          <w:lang w:eastAsia="en-US"/>
        </w:rPr>
      </w:pPr>
      <w:r>
        <w:rPr>
          <w:rFonts w:cs="Arial" w:ascii="Arial" w:hAnsi="Arial"/>
          <w:sz w:val="24"/>
        </w:rPr>
        <w:t>For each generating unit located in California, or the WSCC region, over which respondent has acquired control (e.g., purchased, leased, acted as scheduling coordinator, or otherwise possessed the right to use or resell generation output), please provide the following documents for the period since the later of April 1, 1998 or the date respondent acquired control of the unit(s):</w:t>
      </w:r>
    </w:p>
    <w:p>
      <w:pPr>
        <w:pStyle w:val="Normal"/>
        <w:numPr>
          <w:ilvl w:val="0"/>
          <w:numId w:val="23"/>
        </w:numPr>
        <w:tabs>
          <w:tab w:val="left" w:pos="720" w:leader="none"/>
        </w:tabs>
        <w:ind w:hanging="360" w:start="720" w:end="0"/>
        <w:rPr>
          <w:rFonts w:ascii="Arial" w:hAnsi="Arial" w:cs="Arial"/>
          <w:sz w:val="24"/>
          <w:lang w:eastAsia="en-US"/>
        </w:rPr>
      </w:pPr>
      <w:r>
        <w:rPr>
          <w:rFonts w:cs="Arial" w:ascii="Arial" w:hAnsi="Arial"/>
          <w:sz w:val="24"/>
          <w:lang w:eastAsia="en-US"/>
        </w:rPr>
        <w:t xml:space="preserve">Any documents which refer or relate to fuel costs (e.g., contracts for gas purchases, invoices for spot purchases of gas); </w:t>
      </w:r>
    </w:p>
    <w:p>
      <w:pPr>
        <w:pStyle w:val="Normal"/>
        <w:numPr>
          <w:ilvl w:val="0"/>
          <w:numId w:val="13"/>
        </w:numPr>
        <w:tabs>
          <w:tab w:val="left" w:pos="720" w:leader="none"/>
        </w:tabs>
        <w:ind w:hanging="360" w:start="720" w:end="0"/>
        <w:rPr>
          <w:rFonts w:ascii="Arial" w:hAnsi="Arial" w:cs="Arial"/>
          <w:sz w:val="24"/>
          <w:lang w:eastAsia="en-US"/>
        </w:rPr>
      </w:pPr>
      <w:r>
        <w:rPr>
          <w:rFonts w:cs="Arial" w:ascii="Arial" w:hAnsi="Arial"/>
          <w:sz w:val="24"/>
          <w:lang w:eastAsia="en-US"/>
        </w:rPr>
        <w:t xml:space="preserve">Any documents which refer or relate to a unit’s heat rate (e.g., heat rate test data); </w:t>
      </w:r>
    </w:p>
    <w:p>
      <w:pPr>
        <w:pStyle w:val="Normal"/>
        <w:numPr>
          <w:ilvl w:val="0"/>
          <w:numId w:val="3"/>
        </w:numPr>
        <w:tabs>
          <w:tab w:val="left" w:pos="720" w:leader="none"/>
        </w:tabs>
        <w:ind w:hanging="360" w:start="720" w:end="0"/>
        <w:rPr>
          <w:rFonts w:ascii="Arial" w:hAnsi="Arial" w:cs="Arial"/>
          <w:sz w:val="24"/>
          <w:lang w:eastAsia="en-US"/>
        </w:rPr>
      </w:pPr>
      <w:r>
        <w:rPr>
          <w:rFonts w:cs="Arial" w:ascii="Arial" w:hAnsi="Arial"/>
          <w:sz w:val="24"/>
          <w:lang w:eastAsia="en-US"/>
        </w:rPr>
        <w:t xml:space="preserve">Any contracts for O&amp;M services; </w:t>
      </w:r>
    </w:p>
    <w:p>
      <w:pPr>
        <w:pStyle w:val="Normal"/>
        <w:numPr>
          <w:ilvl w:val="0"/>
          <w:numId w:val="18"/>
        </w:numPr>
        <w:tabs>
          <w:tab w:val="left" w:pos="720" w:leader="none"/>
        </w:tabs>
        <w:ind w:hanging="360" w:start="720" w:end="0"/>
        <w:rPr>
          <w:rFonts w:ascii="Arial" w:hAnsi="Arial" w:cs="Arial"/>
          <w:sz w:val="24"/>
          <w:lang w:eastAsia="en-US"/>
        </w:rPr>
      </w:pPr>
      <w:r>
        <w:rPr>
          <w:rFonts w:cs="Arial" w:ascii="Arial" w:hAnsi="Arial"/>
          <w:sz w:val="24"/>
          <w:lang w:eastAsia="en-US"/>
        </w:rPr>
        <w:t>Any documents which refer or relate to a unit’s A&amp;G costs;</w:t>
      </w:r>
    </w:p>
    <w:p>
      <w:pPr>
        <w:pStyle w:val="Normal"/>
        <w:numPr>
          <w:ilvl w:val="0"/>
          <w:numId w:val="7"/>
        </w:numPr>
        <w:tabs>
          <w:tab w:val="left" w:pos="720" w:leader="none"/>
        </w:tabs>
        <w:ind w:hanging="360" w:start="720" w:end="0"/>
        <w:rPr>
          <w:rFonts w:ascii="Arial" w:hAnsi="Arial" w:cs="Arial"/>
          <w:sz w:val="24"/>
          <w:lang w:eastAsia="en-US"/>
        </w:rPr>
      </w:pPr>
      <w:r>
        <w:rPr>
          <w:rFonts w:cs="Arial" w:ascii="Arial" w:hAnsi="Arial"/>
          <w:sz w:val="24"/>
          <w:lang w:eastAsia="en-US"/>
        </w:rPr>
        <w:t>Any documents which refer or relate to a unit’s “start-up costs;”</w:t>
      </w:r>
    </w:p>
    <w:p>
      <w:pPr>
        <w:pStyle w:val="Normal"/>
        <w:numPr>
          <w:ilvl w:val="0"/>
          <w:numId w:val="22"/>
        </w:numPr>
        <w:tabs>
          <w:tab w:val="left" w:pos="720" w:leader="none"/>
        </w:tabs>
        <w:ind w:hanging="360" w:start="720" w:end="0"/>
        <w:rPr>
          <w:rFonts w:ascii="Arial" w:hAnsi="Arial" w:cs="Arial"/>
          <w:sz w:val="24"/>
          <w:lang w:eastAsia="en-US"/>
        </w:rPr>
      </w:pPr>
      <w:r>
        <w:rPr>
          <w:rFonts w:cs="Arial" w:ascii="Arial" w:hAnsi="Arial"/>
          <w:sz w:val="24"/>
          <w:lang w:eastAsia="en-US"/>
        </w:rPr>
        <w:t xml:space="preserve">Any documents which refer or relate to a unit’s “no-load costs;” </w:t>
      </w:r>
    </w:p>
    <w:p>
      <w:pPr>
        <w:pStyle w:val="Normal"/>
        <w:numPr>
          <w:ilvl w:val="0"/>
          <w:numId w:val="22"/>
        </w:numPr>
        <w:tabs>
          <w:tab w:val="left" w:pos="720" w:leader="none"/>
        </w:tabs>
        <w:ind w:hanging="360" w:start="720" w:end="0"/>
        <w:rPr>
          <w:rFonts w:ascii="Arial" w:hAnsi="Arial" w:cs="Arial"/>
          <w:sz w:val="24"/>
          <w:lang w:eastAsia="en-US"/>
        </w:rPr>
      </w:pPr>
      <w:r>
        <w:rPr>
          <w:rFonts w:cs="Arial" w:ascii="Arial" w:hAnsi="Arial"/>
          <w:sz w:val="24"/>
          <w:lang w:eastAsia="en-US"/>
        </w:rPr>
        <w:t>Any documents which refer or relate to a unit’s average fixed costs, please specify depreciation schedule used;</w:t>
      </w:r>
    </w:p>
    <w:p>
      <w:pPr>
        <w:pStyle w:val="Normal"/>
        <w:numPr>
          <w:ilvl w:val="0"/>
          <w:numId w:val="22"/>
        </w:numPr>
        <w:tabs>
          <w:tab w:val="left" w:pos="720" w:leader="none"/>
        </w:tabs>
        <w:ind w:hanging="360" w:start="720" w:end="0"/>
        <w:rPr>
          <w:rFonts w:ascii="Arial" w:hAnsi="Arial" w:cs="Arial"/>
          <w:sz w:val="24"/>
          <w:lang w:eastAsia="en-US"/>
        </w:rPr>
      </w:pPr>
      <w:r>
        <w:rPr>
          <w:rFonts w:cs="Arial" w:ascii="Arial" w:hAnsi="Arial"/>
          <w:sz w:val="24"/>
          <w:lang w:eastAsia="en-US"/>
        </w:rPr>
        <w:t>Any documents which refer or relate to a unit’s average going forward costs (for all units in addition to Regulatory Must Run or RMR units);</w:t>
      </w:r>
    </w:p>
    <w:p>
      <w:pPr>
        <w:pStyle w:val="Normal"/>
        <w:numPr>
          <w:ilvl w:val="0"/>
          <w:numId w:val="22"/>
        </w:numPr>
        <w:tabs>
          <w:tab w:val="left" w:pos="720" w:leader="none"/>
        </w:tabs>
        <w:ind w:hanging="360" w:start="720" w:end="0"/>
        <w:rPr>
          <w:rFonts w:ascii="Arial" w:hAnsi="Arial" w:cs="Arial"/>
          <w:sz w:val="24"/>
          <w:lang w:eastAsia="en-US"/>
        </w:rPr>
      </w:pPr>
      <w:r>
        <w:rPr>
          <w:rFonts w:cs="Arial" w:ascii="Arial" w:hAnsi="Arial"/>
          <w:sz w:val="24"/>
          <w:lang w:eastAsia="en-US"/>
        </w:rPr>
        <w:t>Any documents which refer or relate to actual purchase price and seller of emissions credits, including but not limited to RECLAIM Trading Credits, or emissions offsets for all emissions credits, including but not limited to RECLAIM Trading Credits, or emissions offsets purchased;</w:t>
      </w:r>
    </w:p>
    <w:p>
      <w:pPr>
        <w:pStyle w:val="Normal"/>
        <w:numPr>
          <w:ilvl w:val="0"/>
          <w:numId w:val="22"/>
        </w:numPr>
        <w:tabs>
          <w:tab w:val="left" w:pos="720" w:leader="none"/>
        </w:tabs>
        <w:ind w:hanging="360" w:start="720" w:end="0"/>
        <w:rPr>
          <w:rFonts w:ascii="Arial" w:hAnsi="Arial" w:cs="Arial"/>
          <w:sz w:val="24"/>
          <w:lang w:eastAsia="en-US"/>
        </w:rPr>
      </w:pPr>
      <w:r>
        <w:rPr>
          <w:rFonts w:cs="Arial" w:ascii="Arial" w:hAnsi="Arial"/>
          <w:sz w:val="24"/>
          <w:lang w:eastAsia="en-US"/>
        </w:rPr>
        <w:t>Any documents which refer or relate to actual selling price and purchaser of all emissions credits, including but not limited to RECLAIM Trading Credits, or emissions offsets for all emissions credits, including but not limited to RECLAIM Trading Credits, or emissions offsets sold;</w:t>
      </w:r>
    </w:p>
    <w:p>
      <w:pPr>
        <w:pStyle w:val="Normal"/>
        <w:numPr>
          <w:ilvl w:val="0"/>
          <w:numId w:val="22"/>
        </w:numPr>
        <w:tabs>
          <w:tab w:val="left" w:pos="720" w:leader="none"/>
        </w:tabs>
        <w:ind w:hanging="360" w:start="720" w:end="0"/>
        <w:rPr>
          <w:rFonts w:ascii="Arial" w:hAnsi="Arial" w:cs="Arial"/>
          <w:sz w:val="24"/>
          <w:lang w:eastAsia="en-US"/>
        </w:rPr>
      </w:pPr>
      <w:r>
        <w:rPr>
          <w:rFonts w:cs="Arial" w:ascii="Arial" w:hAnsi="Arial"/>
          <w:sz w:val="24"/>
          <w:lang w:eastAsia="en-US"/>
        </w:rPr>
        <w:t>Any documents which refer or relate to data on remaining emissions credits, including but not limited to RECLAIM Trading Credits, or emissions offsets the generator owns.</w:t>
      </w:r>
    </w:p>
    <w:p>
      <w:pPr>
        <w:pStyle w:val="Normal"/>
        <w:rPr>
          <w:rFonts w:ascii="Arial" w:hAnsi="Arial" w:cs="Arial"/>
          <w:sz w:val="24"/>
          <w:lang w:eastAsia="en-US"/>
        </w:rPr>
      </w:pPr>
      <w:r>
        <w:rPr>
          <w:rFonts w:cs="Arial" w:ascii="Arial" w:hAnsi="Arial"/>
          <w:sz w:val="24"/>
          <w:lang w:eastAsia="en-US"/>
        </w:rPr>
      </w:r>
    </w:p>
    <w:p>
      <w:pPr>
        <w:pStyle w:val="Normal"/>
        <w:numPr>
          <w:ilvl w:val="0"/>
          <w:numId w:val="6"/>
        </w:numPr>
        <w:rPr>
          <w:rFonts w:ascii="Arial" w:hAnsi="Arial" w:cs="Arial"/>
          <w:sz w:val="24"/>
          <w:lang w:eastAsia="en-US"/>
        </w:rPr>
      </w:pPr>
      <w:r>
        <w:rPr>
          <w:rFonts w:cs="Arial" w:ascii="Arial" w:hAnsi="Arial"/>
          <w:sz w:val="24"/>
        </w:rPr>
        <w:t>For all energy or capacity over which respondent has had control (e.g., generating units purchased, leased, acted as scheduling coordinator, or otherwise possessed the right to use or resell generation output; energy or capacity acquired through any contract/agreement or wheeled), please provide all documents related to hourly bid and quantity data and any settlement documents, for the period since April 1, 1998 to date, for all energy or capacity bid into any PX or ISO market.</w:t>
      </w:r>
    </w:p>
    <w:p>
      <w:pPr>
        <w:pStyle w:val="Normal"/>
        <w:rPr>
          <w:rFonts w:ascii="Arial" w:hAnsi="Arial" w:cs="Arial"/>
          <w:sz w:val="24"/>
          <w:lang w:eastAsia="en-US"/>
        </w:rPr>
      </w:pPr>
      <w:r>
        <w:rPr>
          <w:rFonts w:cs="Arial" w:ascii="Arial" w:hAnsi="Arial"/>
          <w:sz w:val="24"/>
          <w:lang w:eastAsia="en-US"/>
        </w:rPr>
      </w:r>
    </w:p>
    <w:p>
      <w:pPr>
        <w:pStyle w:val="Normal"/>
        <w:numPr>
          <w:ilvl w:val="0"/>
          <w:numId w:val="6"/>
        </w:numPr>
        <w:rPr>
          <w:rFonts w:ascii="Arial" w:hAnsi="Arial" w:cs="Arial"/>
          <w:sz w:val="24"/>
          <w:lang w:eastAsia="en-US"/>
        </w:rPr>
      </w:pPr>
      <w:r>
        <w:rPr>
          <w:rFonts w:cs="Arial" w:ascii="Arial" w:hAnsi="Arial"/>
          <w:sz w:val="24"/>
          <w:lang w:eastAsia="en-US"/>
        </w:rPr>
        <w:t>Please provide copies of: (a) all data requests which respondent has received from FERC in connection with FERC’s Bulk Power Investigation required by the FERC Order Directing Staff Investigation, 92 FERC ¶ 61,150 (2000) (“Bulk Power Investigation”); and (b) all responses and responsive documents which respondent has provided to FERC in connection with FERC’s Bulk Power Investigation.</w:t>
      </w:r>
    </w:p>
    <w:p>
      <w:pPr>
        <w:pStyle w:val="Normal"/>
        <w:rPr>
          <w:rFonts w:ascii="Arial" w:hAnsi="Arial" w:cs="Arial"/>
          <w:sz w:val="24"/>
          <w:lang w:eastAsia="en-US"/>
        </w:rPr>
      </w:pPr>
      <w:r>
        <w:rPr>
          <w:rFonts w:cs="Arial" w:ascii="Arial" w:hAnsi="Arial"/>
          <w:sz w:val="24"/>
          <w:lang w:eastAsia="en-US"/>
        </w:rPr>
      </w:r>
    </w:p>
    <w:p>
      <w:pPr>
        <w:pStyle w:val="Normal"/>
        <w:rPr>
          <w:rFonts w:ascii="Arial" w:hAnsi="Arial" w:cs="Arial"/>
          <w:sz w:val="24"/>
          <w:lang w:eastAsia="en-US"/>
        </w:rPr>
      </w:pPr>
      <w:r>
        <w:rPr>
          <w:rFonts w:cs="Arial" w:ascii="Arial" w:hAnsi="Arial"/>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
      <w:lvlJc w:val="start"/>
      <w:pPr>
        <w:tabs>
          <w:tab w:val="num" w:pos="360"/>
        </w:tabs>
        <w:ind w:start="1080" w:hanging="360"/>
      </w:pPr>
      <w:rPr>
        <w:sz w:val="24"/>
        <w:i w:val="false"/>
        <w:u w:val="none"/>
        <w:b w:val="false"/>
        <w:rFonts w:ascii="Times New Roman" w:hAnsi="Times New Roman" w:cs="Times New Roman"/>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6"/>
    </w:rPr>
  </w:style>
  <w:style w:type="paragraph" w:styleId="Heading2">
    <w:name w:val="heading 2"/>
    <w:basedOn w:val="Normal"/>
    <w:next w:val="Normal"/>
    <w:qFormat/>
    <w:pPr>
      <w:keepNext w:val="true"/>
      <w:numPr>
        <w:ilvl w:val="1"/>
        <w:numId w:val="1"/>
      </w:numPr>
      <w:spacing w:before="240" w:after="60"/>
      <w:outlineLvl w:val="1"/>
    </w:pPr>
    <w:rPr>
      <w:sz w:val="26"/>
    </w:rPr>
  </w:style>
  <w:style w:type="paragraph" w:styleId="Heading3">
    <w:name w:val="heading 3"/>
    <w:basedOn w:val="Normal"/>
    <w:next w:val="Normal"/>
    <w:qFormat/>
    <w:pPr>
      <w:keepNext w:val="true"/>
      <w:numPr>
        <w:ilvl w:val="2"/>
        <w:numId w:val="1"/>
      </w:numPr>
      <w:spacing w:before="240" w:after="60"/>
      <w:outlineLvl w:val="2"/>
    </w:pPr>
    <w:rPr>
      <w:sz w:val="26"/>
    </w:rPr>
  </w:style>
  <w:style w:type="paragraph" w:styleId="Heading4">
    <w:name w:val="heading 4"/>
    <w:basedOn w:val="Normal"/>
    <w:next w:val="Normal"/>
    <w:qFormat/>
    <w:pPr>
      <w:keepNext w:val="true"/>
      <w:numPr>
        <w:ilvl w:val="3"/>
        <w:numId w:val="1"/>
      </w:numPr>
      <w:spacing w:before="260" w:after="260"/>
      <w:outlineLvl w:val="3"/>
    </w:pPr>
    <w:rPr>
      <w:b/>
      <w:sz w:val="26"/>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sz w:val="20"/>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Times New Roman" w:hAnsi="Times New Roman" w:cs="Times New Roman"/>
      <w:b w:val="false"/>
      <w:i w:val="false"/>
      <w:sz w:val="24"/>
      <w:u w:val="none"/>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Spacing">
    <w:name w:val="Double Spacing"/>
    <w:basedOn w:val="Normal"/>
    <w:qFormat/>
    <w:pPr>
      <w:widowControl w:val="false"/>
      <w:spacing w:lineRule="exact" w:line="480"/>
    </w:pPr>
    <w:rPr>
      <w:rFonts w:ascii="Courier New" w:hAnsi="Courier New" w:cs="Courier New"/>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2000-10-05T12:50:00Z</dcterms:created>
  <dc:creator>Mary McKenzie</dc:creator>
  <dc:description/>
  <dc:language>en-CA</dc:language>
  <cp:lastModifiedBy>operations</cp:lastModifiedBy>
  <cp:lastPrinted>2000-09-20T14:41:00Z</cp:lastPrinted>
  <dcterms:modified xsi:type="dcterms:W3CDTF">2000-10-05T12:50:00Z</dcterms:modified>
  <cp:revision>2</cp:revision>
  <dc:subject/>
  <dc:title>Attachment A to Subpoena</dc:title>
</cp:coreProperties>
</file>