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1"/>
        <w:widowControl/>
        <w:spacing w:before="100" w:after="100"/>
        <w:jc w:val="center"/>
        <w:rPr>
          <w:sz w:val="36"/>
          <w:szCs w:val="36"/>
        </w:rPr>
      </w:pPr>
      <w:r>
        <w:rPr>
          <w:sz w:val="36"/>
          <w:szCs w:val="36"/>
        </w:rPr>
        <w:t>Rules of Practice and Procedure</w:t>
      </w:r>
    </w:p>
    <w:p>
      <w:pPr>
        <w:pStyle w:val="H2"/>
        <w:widowControl/>
        <w:jc w:val="center"/>
        <w:rPr>
          <w:sz w:val="28"/>
          <w:szCs w:val="28"/>
        </w:rPr>
      </w:pPr>
      <w:r>
        <w:rPr>
          <w:rFonts w:eastAsia="Arial" w:cs="Arial" w:ascii="Arial" w:hAnsi="Arial"/>
          <w:i/>
          <w:iCs/>
          <w:sz w:val="28"/>
          <w:szCs w:val="28"/>
        </w:rPr>
        <w:t xml:space="preserve">Article 13.5. Stipulations and Settlements </w:t>
      </w:r>
    </w:p>
    <w:p>
      <w:pPr>
        <w:pStyle w:val="H3"/>
        <w:widowControl/>
        <w:rPr>
          <w:rFonts w:ascii="Arial" w:hAnsi="Arial" w:eastAsia="Arial" w:cs="Arial"/>
          <w:sz w:val="24"/>
          <w:szCs w:val="24"/>
        </w:rPr>
      </w:pPr>
      <w:r>
        <w:rPr>
          <w:rFonts w:eastAsia="Arial" w:cs="Arial" w:ascii="Arial" w:hAnsi="Arial"/>
          <w:sz w:val="24"/>
          <w:szCs w:val="24"/>
        </w:rPr>
        <w:t xml:space="preserve">51. (Rule 51) Definitions.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The following definitions apply for purposes of this article:</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(a) "Party or Parties" means any person on whose behalf an appearance has been filed in the proceeding.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(b) "Commission Proceeding" means an application, complaint, investigation or rulemaking before the California Public Utilities Commission.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(c) "Settlement" means an agreement between some or all of the parties to a Commission proceeding on a mutually acceptable outcome to the proceedings. In addition to other parties to an agreement, settlements in applications must be signed by the applicant and in complaints, by the complainant and defendant.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(d) "Stipulation" means an agreement between some or all of the parties to a Commission proceeding on the resolution of any issue of law or fact material to the proceeding.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(e) "Contested" describes a stipulation or settlement that is opposed in whole or part, as provided in this article, by any of the parties to the proceeding in which such stipulation or settlement is proposed for adoption by the Commission.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(f) "Uncontested" describes a stipulation or settlement that (1) is filed concurrently by all parties to the proceeding in which such stipulation or settlement is proposed for adoption by the Commission, or (2) is not contested by any party to the proceeding within the comment period after service of the stipulation or settlement on all parties to the proceeding.</w:t>
      </w:r>
    </w:p>
    <w:p>
      <w:pPr>
        <w:pStyle w:val="H3"/>
        <w:widowControl/>
        <w:rPr>
          <w:rFonts w:ascii="Arial" w:hAnsi="Arial" w:eastAsia="Arial" w:cs="Arial"/>
          <w:sz w:val="24"/>
          <w:szCs w:val="24"/>
        </w:rPr>
      </w:pPr>
      <w:r>
        <w:rPr>
          <w:rFonts w:eastAsia="Arial" w:cs="Arial" w:ascii="Arial" w:hAnsi="Arial"/>
          <w:sz w:val="24"/>
          <w:szCs w:val="24"/>
        </w:rPr>
        <w:t xml:space="preserve">51.1. (Rule 51.1) Proposal of Settlements or Stipulations.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(a) Parties to a Commission proceeding may stipulate to the resolution of any issue of law or fact material to the proceeding, or may settle on a mutually acceptable outcome to the proceeding, with or without resolving material issues. Resolution shall be limited to the issues in that proceeding and shall not extend to substantive issues which may come before the Commission in other or future proceedings.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(b) Prior to signing any stipulation or settlement, the settling parties shall convene at least one conference with notice and opportunity to participate provided to all parties for the purpose of discussing stipulations and settlements in a given proceeding. Written notice of the date, time, and place shall be furnished at least seven (7) days in advance to all parties to the proceeding. Notice of any subsequent meetings may be oral, may occur less than seven days in advance, and may be limited to prior conference attendees and those parties specifically requesting notice.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(c) Attendance at any stipulation or settlement conference or discussion conducted outside the public hearing room shall be limited to the parties to a proceeding and their representatives.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Parties may by written motion propose stipulations or settlements for adoption by the Commission in accordance with this article. The motion shall contain a statement of the factual and legal considerations adequate to advise the Commission and parties not expressly joining the agreement of its scope and of the grounds on which adoption is urged.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When a settlement pertains to a proceeding under the Rate Case Plan or other proceeding in which a comparison exhibit would ordinarily be filed, the settlement must be supported by a comparison exhibit indicating the impact of the settlement in relation to the utility's application. If the participating staff supports the settlement, it must prepare a similar exhibit indicating the impact of the proposal in relation to the issues it contested, or would have contested, in a hearing.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(d) Stipulations and settlements should ordinarily not include deadlines for Commission approval; however, in the rare case where delay beyond a certain date would invalidate the basis for the proposal, the timing urgency must be clearly stated and fully justified in the motion.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(e) The Commission will not approve stipulations or settlements, whether contested or uncontested, unless the stipulation or settlement is reasonable in light of the whole record, consistent with law, and in the public interest. </w:t>
      </w:r>
    </w:p>
    <w:p>
      <w:pPr>
        <w:pStyle w:val="H3"/>
        <w:widowControl/>
        <w:rPr>
          <w:rFonts w:ascii="Arial" w:hAnsi="Arial" w:eastAsia="Arial" w:cs="Arial"/>
          <w:sz w:val="24"/>
          <w:szCs w:val="24"/>
        </w:rPr>
      </w:pPr>
      <w:r>
        <w:rPr>
          <w:rFonts w:eastAsia="Arial" w:cs="Arial" w:ascii="Arial" w:hAnsi="Arial"/>
          <w:sz w:val="24"/>
          <w:szCs w:val="24"/>
        </w:rPr>
        <w:t xml:space="preserve">51.2. (Rule 51.2) Timing.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Parties to a Commission proceeding may propose a stipulation or settlement for adoption by the Commission (1) any time after the first prehearing conference and (2) within 30 days after the last day of hearing. </w:t>
      </w:r>
    </w:p>
    <w:p>
      <w:pPr>
        <w:pStyle w:val="H3"/>
        <w:widowControl/>
        <w:rPr>
          <w:rFonts w:ascii="Arial" w:hAnsi="Arial" w:eastAsia="Arial" w:cs="Arial"/>
          <w:sz w:val="24"/>
          <w:szCs w:val="24"/>
        </w:rPr>
      </w:pPr>
      <w:r>
        <w:rPr>
          <w:rFonts w:eastAsia="Arial" w:cs="Arial" w:ascii="Arial" w:hAnsi="Arial"/>
          <w:sz w:val="24"/>
          <w:szCs w:val="24"/>
        </w:rPr>
        <w:t xml:space="preserve">51.3. (Rule 51.3) Filing.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Parties proposing a stipulation or settlement for adoption by the Commission shall concurrently file their proposal in accordance with the rules applicable to pleadings (see Article 2), and shall serve the proposal on all parties to the proceeding. </w:t>
      </w:r>
    </w:p>
    <w:p>
      <w:pPr>
        <w:pStyle w:val="H3"/>
        <w:widowControl/>
        <w:rPr>
          <w:rFonts w:ascii="Arial" w:hAnsi="Arial" w:eastAsia="Arial" w:cs="Arial"/>
          <w:sz w:val="24"/>
          <w:szCs w:val="24"/>
        </w:rPr>
      </w:pPr>
      <w:r>
        <w:rPr>
          <w:rFonts w:eastAsia="Arial" w:cs="Arial" w:ascii="Arial" w:hAnsi="Arial"/>
          <w:sz w:val="24"/>
          <w:szCs w:val="24"/>
        </w:rPr>
        <w:t xml:space="preserve">51.4. (Rule 51.4) Comment Period.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Whenever a party to a proceeding does not expressly join in a stipulation or settlement proposed for adoption by the Commission in that proceeding, such party shall have 30 days from the date of mailing of the stipulation or settlement within which to file comments contesting all or part of the stipulation or settlement, and shall serve such comments on all parties to the proceeding. Parties shall have 15 days after the comments are filed within which to file reply comments. The assigned administrative law judge may extend the comment and/or response period on motion and for good cause. </w:t>
      </w:r>
    </w:p>
    <w:p>
      <w:pPr>
        <w:pStyle w:val="H3"/>
        <w:widowControl/>
        <w:rPr>
          <w:rFonts w:ascii="Arial" w:hAnsi="Arial" w:eastAsia="Arial" w:cs="Arial"/>
          <w:sz w:val="24"/>
          <w:szCs w:val="24"/>
        </w:rPr>
      </w:pPr>
      <w:r>
        <w:rPr>
          <w:rFonts w:eastAsia="Arial" w:cs="Arial" w:ascii="Arial" w:hAnsi="Arial"/>
          <w:sz w:val="24"/>
          <w:szCs w:val="24"/>
        </w:rPr>
        <w:t xml:space="preserve">51.5. (Rule 51.5) Contents of Comments.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A party contesting a proposed stipulation or settlement must specify in its comments the portions of the stipulation or settlement that it opposes, the legal basis of its opposition, and the factual issues that it contests. Parties should indicate the extent of their planned participation at any hearing. If the contesting party asserts that hearing is required by law, appropriate citation shall be provided. Any failure by a party to file comments constitutes waiver by that party of all objections to the stipulation or settlement, including the right to hearing to the extent that such hearing is not otherwise required by law. </w:t>
      </w:r>
    </w:p>
    <w:p>
      <w:pPr>
        <w:pStyle w:val="H3"/>
        <w:widowControl/>
        <w:rPr>
          <w:rFonts w:ascii="Arial" w:hAnsi="Arial" w:eastAsia="Arial" w:cs="Arial"/>
          <w:sz w:val="24"/>
          <w:szCs w:val="24"/>
        </w:rPr>
      </w:pPr>
      <w:r>
        <w:rPr>
          <w:rFonts w:eastAsia="Arial" w:cs="Arial" w:ascii="Arial" w:hAnsi="Arial"/>
          <w:sz w:val="24"/>
          <w:szCs w:val="24"/>
        </w:rPr>
        <w:t xml:space="preserve">51.6. (Rule 51.6) Contested Stipulations and Settlements.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(a) If the stipulation or settlement is contested, pursuant to Rule 51.4, in whole or in part on any material issue of fact by any party, the Commission will schedule a hearing on the contested issue(s) as soon after the close of the comment period as reasonably possible. Discovery will be permitted and should be well underway prior to the close of the comment period. Parties to the stipulation or settlement must provide one or more witnesses to testify concerning the contested issues and to undergo cross-examination by contesting parties. Contesting parties may present evidence and testimony on the contested issues.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(b) The Commission may decline to set hearing in any case where the contested issue of fact is not material or where the contested issue is one of law. In the latter case, opportunity for briefs will be provided.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To ensure that the process of considering stipulations and settlements is in the public interest, opportunity may also be provided for additional prehearing conferences and any other procedure deemed reasonable to develop the record on which the Commission will base its decision.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(c) Stipulations may be accepted on the record in any proceeding and the assigned administrative law judge may waive application of these rules to the stipulation upon motion and for good cause shown. </w:t>
      </w:r>
    </w:p>
    <w:p>
      <w:pPr>
        <w:pStyle w:val="H3"/>
        <w:widowControl/>
        <w:rPr>
          <w:rFonts w:ascii="Arial" w:hAnsi="Arial" w:eastAsia="Arial" w:cs="Arial"/>
          <w:sz w:val="24"/>
          <w:szCs w:val="24"/>
        </w:rPr>
      </w:pPr>
      <w:r>
        <w:rPr>
          <w:rFonts w:eastAsia="Arial" w:cs="Arial" w:ascii="Arial" w:hAnsi="Arial"/>
          <w:sz w:val="24"/>
          <w:szCs w:val="24"/>
        </w:rPr>
        <w:t xml:space="preserve">51.7. (Rule 51.7) Commission Rejection of a Stipulation or Settlement.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The Commission may reject a proposed stipulation or settlement without hearing whenever it determines that the stipulation or settlement is not in the public interest. Upon rejection of the settlement, the Commission may take various steps, including the following: </w:t>
      </w:r>
    </w:p>
    <w:p>
      <w:pPr>
        <w:pStyle w:val="Normal"/>
        <w:widowControl/>
        <w:ind w:start="180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1. Hold hearings on the underlying issues, in which case the parties to the stipulation may either withdraw it or offer it as joint testimony, </w:t>
      </w:r>
    </w:p>
    <w:p>
      <w:pPr>
        <w:pStyle w:val="Normal"/>
        <w:widowControl/>
        <w:ind w:start="180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2. Allow the parties time to renegotiate the settlement, </w:t>
      </w:r>
    </w:p>
    <w:p>
      <w:pPr>
        <w:pStyle w:val="Normal"/>
        <w:widowControl/>
        <w:ind w:start="180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3. Propose alternative terms to the parties to the settlement which are acceptable to the Commission and allow the parties reasonable time within which to elect to accept such terms or to request other relief. </w:t>
      </w:r>
    </w:p>
    <w:p>
      <w:pPr>
        <w:pStyle w:val="H3"/>
        <w:widowControl/>
        <w:rPr>
          <w:rFonts w:ascii="Arial" w:hAnsi="Arial" w:eastAsia="Arial" w:cs="Arial"/>
          <w:sz w:val="24"/>
          <w:szCs w:val="24"/>
        </w:rPr>
      </w:pPr>
      <w:r>
        <w:rPr>
          <w:rFonts w:eastAsia="Arial" w:cs="Arial" w:ascii="Arial" w:hAnsi="Arial"/>
          <w:sz w:val="24"/>
          <w:szCs w:val="24"/>
        </w:rPr>
        <w:t xml:space="preserve">51.8. (Rule 51.8) Adoption Binding, Not Precedential.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Commission adoption of a stipulation or settlement is binding on all parties to the proceeding in which the stipulation or settlement is proposed. Unless the Commission expressly provides otherwise, such adoption does not constitute approval of, or precedent regarding, any principle or issue in the proceeding or in any future proceeding.</w:t>
      </w:r>
    </w:p>
    <w:p>
      <w:pPr>
        <w:pStyle w:val="H3"/>
        <w:widowControl/>
        <w:rPr>
          <w:rFonts w:ascii="Arial" w:hAnsi="Arial" w:eastAsia="Arial" w:cs="Arial"/>
          <w:sz w:val="24"/>
          <w:szCs w:val="24"/>
        </w:rPr>
      </w:pPr>
      <w:r>
        <w:rPr>
          <w:rFonts w:eastAsia="Arial" w:cs="Arial" w:ascii="Arial" w:hAnsi="Arial"/>
          <w:sz w:val="24"/>
          <w:szCs w:val="24"/>
        </w:rPr>
        <w:t xml:space="preserve">51.9. (Rule 51.9) Inadmissibility.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No discussion, admission, concession or offer to stipulate or settle, whether oral or written, made during any negotiation on a stipulation or settlement shall be subject to discovery, or admissible in any evidentiary hearing against any participant who objects to its admission. Participating parties and their representatives shall hold such discussions, admissions, concessions, and offers to stipulate or settle confidential and shall not disclose them outside the negotiations without the consent of the parties participating in the negotiations.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If a stipulation or settlement is not adopted by the Commission, the terms of the proposed stipulation or settlement are also inadmissible unless their admission is agreed to by all parties joining in the proposal. </w:t>
      </w:r>
    </w:p>
    <w:p>
      <w:pPr>
        <w:pStyle w:val="H3"/>
        <w:widowControl/>
        <w:rPr>
          <w:rFonts w:ascii="Arial" w:hAnsi="Arial" w:eastAsia="Arial" w:cs="Arial"/>
          <w:sz w:val="24"/>
          <w:szCs w:val="24"/>
        </w:rPr>
      </w:pPr>
      <w:r>
        <w:rPr>
          <w:rFonts w:eastAsia="Arial" w:cs="Arial" w:ascii="Arial" w:hAnsi="Arial"/>
          <w:sz w:val="24"/>
          <w:szCs w:val="24"/>
        </w:rPr>
        <w:t xml:space="preserve">51.10. (Rule 51.10) Applicability.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These rules shall apply on and after the effective date of the decision promulgating them in all formal proceedings involving gas, electric, telephone, and Class A water utilities.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In proceedings where all parties join in the proposed stipulation or settlement, a motion for waiver of these rules may be filed. Such motion should demonstrate that the public interest will not be impaired by the waiver of these rules.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Any party in other proceedings before the Commission may file a motion showing good cause for applying these rules to settlements or stipulations in a particular matter. Such motion shall demonstrate that it is in the public interest to apply these rules in that proceeding. Protests to the motion may be oral or written. </w:t>
      </w:r>
    </w:p>
    <w:p>
      <w:pPr>
        <w:pStyle w:val="Normal"/>
        <w:widowControl/>
        <w:ind w:start="1080" w:end="0"/>
        <w:rPr>
          <w:rFonts w:ascii="Palatino;Book Antiqua" w:hAnsi="Palatino;Book Antiqua" w:eastAsia="Palatino;Book Antiqua" w:cs="Palatino;Book Antiqua"/>
        </w:rPr>
      </w:pPr>
      <w:r>
        <w:rPr>
          <w:rFonts w:eastAsia="Palatino;Book Antiqua" w:cs="Palatino;Book Antiqua" w:ascii="Palatino;Book Antiqua" w:hAnsi="Palatino;Book Antiqua"/>
        </w:rPr>
        <w:t xml:space="preserve">Exhibits may be sponsored by two or more parties in a Commission hearing as joint testimony without application of these rules. </w:t>
      </w:r>
    </w:p>
    <w:p>
      <w:pPr>
        <w:pStyle w:val="Normal"/>
        <w:widowControl/>
        <w:jc w:val="center"/>
        <w:rPr/>
      </w:pPr>
      <w:r>
        <w:rPr/>
        <w:t>"</w:t>
      </w:r>
    </w:p>
    <w:p>
      <w:pPr>
        <w:pStyle w:val="Normal"/>
        <w:widowControl/>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Palatino">
    <w:altName w:val="Book Antiqua"/>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eastAsia="Arial" w:cs="Arial" w:ascii="Arial" w:hAnsi="Arial"/>
      </w:rPr>
      <w:t xml:space="preserve">Page </w:t>
    </w:r>
    <w:r>
      <w:rPr>
        <w:rStyle w:val="PageNumber"/>
        <w:rFonts w:eastAsia="Arial" w:cs="Arial" w:ascii="Arial" w:hAnsi="Arial"/>
        <w:sz w:val="23"/>
        <w:szCs w:val="23"/>
      </w:rPr>
      <w:fldChar w:fldCharType="begin"/>
    </w:r>
    <w:r>
      <w:rPr>
        <w:rStyle w:val="PageNumber"/>
        <w:sz w:val="23"/>
        <w:szCs w:val="23"/>
        <w:rFonts w:eastAsia="Arial" w:cs="Arial" w:ascii="Arial" w:hAnsi="Arial"/>
      </w:rPr>
      <w:instrText xml:space="preserve"> PAGE </w:instrText>
    </w:r>
    <w:r>
      <w:rPr>
        <w:rStyle w:val="PageNumber"/>
        <w:sz w:val="23"/>
        <w:szCs w:val="23"/>
        <w:rFonts w:eastAsia="Arial" w:cs="Arial" w:ascii="Arial" w:hAnsi="Arial"/>
      </w:rPr>
      <w:fldChar w:fldCharType="separate"/>
    </w:r>
    <w:r>
      <w:rPr>
        <w:rStyle w:val="PageNumber"/>
        <w:sz w:val="23"/>
        <w:szCs w:val="23"/>
        <w:rFonts w:eastAsia="Arial" w:cs="Arial" w:ascii="Arial" w:hAnsi="Arial"/>
      </w:rPr>
      <w:t>4</w:t>
    </w:r>
    <w:r>
      <w:rPr>
        <w:rStyle w:val="PageNumber"/>
        <w:sz w:val="23"/>
        <w:szCs w:val="23"/>
        <w:rFonts w:eastAsia="Arial"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eastAsia="Arial" w:cs="Arial" w:ascii="Arial" w:hAnsi="Arial"/>
      </w:rPr>
      <w:t xml:space="preserve">Page </w:t>
    </w:r>
    <w:r>
      <w:rPr>
        <w:rStyle w:val="PageNumber"/>
        <w:rFonts w:eastAsia="Arial" w:cs="Arial" w:ascii="Arial" w:hAnsi="Arial"/>
        <w:sz w:val="23"/>
        <w:szCs w:val="23"/>
      </w:rPr>
      <w:fldChar w:fldCharType="begin"/>
    </w:r>
    <w:r>
      <w:rPr>
        <w:rStyle w:val="PageNumber"/>
        <w:sz w:val="23"/>
        <w:szCs w:val="23"/>
        <w:rFonts w:eastAsia="Arial" w:cs="Arial" w:ascii="Arial" w:hAnsi="Arial"/>
      </w:rPr>
      <w:instrText xml:space="preserve"> PAGE </w:instrText>
    </w:r>
    <w:r>
      <w:rPr>
        <w:rStyle w:val="PageNumber"/>
        <w:sz w:val="23"/>
        <w:szCs w:val="23"/>
        <w:rFonts w:eastAsia="Arial" w:cs="Arial" w:ascii="Arial" w:hAnsi="Arial"/>
      </w:rPr>
      <w:fldChar w:fldCharType="separate"/>
    </w:r>
    <w:r>
      <w:rPr>
        <w:rStyle w:val="PageNumber"/>
        <w:sz w:val="23"/>
        <w:szCs w:val="23"/>
        <w:rFonts w:eastAsia="Arial" w:cs="Arial" w:ascii="Arial" w:hAnsi="Arial"/>
      </w:rPr>
      <w:t>1</w:t>
    </w:r>
    <w:r>
      <w:rPr>
        <w:rStyle w:val="PageNumber"/>
        <w:sz w:val="23"/>
        <w:szCs w:val="23"/>
        <w:rFonts w:eastAsia="Arial"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1"/>
      <w:widowControl/>
      <w:spacing w:before="0" w:after="0"/>
      <w:rPr>
        <w:sz w:val="30"/>
        <w:szCs w:val="30"/>
      </w:rPr>
    </w:pPr>
    <w:r>
      <w:rPr>
        <w:sz w:val="30"/>
        <w:szCs w:val="30"/>
      </w:rPr>
      <w:t>Rules of Practice and Procedure</w:t>
    </w:r>
  </w:p>
  <w:p>
    <w:pPr>
      <w:pStyle w:val="H2"/>
      <w:widowControl/>
      <w:spacing w:before="0" w:after="0"/>
      <w:rPr>
        <w:sz w:val="24"/>
        <w:szCs w:val="24"/>
      </w:rPr>
    </w:pPr>
    <w:r>
      <w:rPr>
        <w:rFonts w:eastAsia="Arial" w:cs="Arial" w:ascii="Arial" w:hAnsi="Arial"/>
        <w:i/>
        <w:iCs/>
        <w:sz w:val="24"/>
        <w:szCs w:val="24"/>
      </w:rPr>
      <w:t>Article 13.5. Stipulations and Settlements (continued)</w:t>
    </w:r>
  </w:p>
  <w:p>
    <w:pPr>
      <w:pStyle w:val="Header"/>
      <w:widowControl/>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Attachment B</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3"/>
      <w:szCs w:val="23"/>
      <w:lang w:val="en-US" w:eastAsia="zh-CN" w:bidi="hi-I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pPr>
    <w:rPr>
      <w:b/>
      <w:bCs/>
      <w:kern w:val="2"/>
      <w:sz w:val="48"/>
      <w:szCs w:val="48"/>
    </w:rPr>
  </w:style>
  <w:style w:type="paragraph" w:styleId="H2">
    <w:name w:val="H2"/>
    <w:basedOn w:val="Normal"/>
    <w:next w:val="Normal"/>
    <w:qFormat/>
    <w:pPr>
      <w:keepNext w:val="true"/>
      <w:spacing w:before="100" w:after="100"/>
    </w:pPr>
    <w:rPr>
      <w:b/>
      <w:bCs/>
      <w:sz w:val="36"/>
      <w:szCs w:val="36"/>
    </w:rPr>
  </w:style>
  <w:style w:type="paragraph" w:styleId="H3">
    <w:name w:val="H3"/>
    <w:basedOn w:val="Normal"/>
    <w:next w:val="Normal"/>
    <w:qFormat/>
    <w:pPr>
      <w:keepNext w:val="true"/>
      <w:spacing w:before="100" w:after="100"/>
    </w:pPr>
    <w:rPr>
      <w:b/>
      <w:bCs/>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2000-10-25T15:23:00Z</dcterms:created>
  <dc:creator>A Valued Microsoft Customer</dc:creator>
  <dc:description/>
  <dc:language>en-CA</dc:language>
  <cp:lastModifiedBy>Becky Lopez</cp:lastModifiedBy>
  <cp:lastPrinted>2000-10-25T10:52:00Z</cp:lastPrinted>
  <dcterms:modified xsi:type="dcterms:W3CDTF">2000-10-25T15:23:00Z</dcterms:modified>
  <cp:revision>2</cp:revision>
  <dc:subject/>
  <dc:title>   </dc:title>
</cp:coreProperties>
</file>