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Summary of CPUC Proceedings</w:t>
      </w:r>
    </w:p>
    <w:p>
      <w:pPr>
        <w:pStyle w:val="Normal"/>
        <w:jc w:val="center"/>
        <w:rPr/>
      </w:pPr>
      <w:r>
        <w:rPr/>
        <w:t>January 2002</w:t>
      </w:r>
    </w:p>
    <w:p>
      <w:pPr>
        <w:pStyle w:val="Normal"/>
        <w:rPr/>
      </w:pPr>
      <w:r>
        <w:rPr/>
      </w:r>
    </w:p>
    <w:p>
      <w:pPr>
        <w:pStyle w:val="Normal"/>
        <w:rPr/>
      </w:pPr>
      <w:r>
        <w:rPr/>
      </w:r>
    </w:p>
    <w:p>
      <w:pPr>
        <w:pStyle w:val="Normal"/>
        <w:rPr/>
      </w:pPr>
      <w:r>
        <w:rPr/>
        <w:t>The following proceedings at the California Public Utilities Commission (CPUC) are at various stages of the process.  Below is a summary of the most critical filings or proceedings made by SoCalGas and PG&amp;E or initiated by the CPUC:</w:t>
      </w:r>
    </w:p>
    <w:p>
      <w:pPr>
        <w:pStyle w:val="Normal"/>
        <w:rPr/>
      </w:pPr>
      <w:r>
        <w:rPr/>
      </w:r>
    </w:p>
    <w:p>
      <w:pPr>
        <w:pStyle w:val="Normal"/>
        <w:rPr/>
      </w:pPr>
      <w:r>
        <w:rPr/>
      </w:r>
    </w:p>
    <w:p>
      <w:pPr>
        <w:pStyle w:val="Normal"/>
        <w:rPr/>
      </w:pPr>
      <w:r>
        <w:rPr>
          <w:u w:val="single"/>
        </w:rPr>
        <w:t>I99-07-003  GIR/SoCalGas Unbundling</w:t>
      </w:r>
      <w:r>
        <w:rPr/>
        <w:t xml:space="preserve">.  This Gas Industry Restructuring (GIR) proceeding initiated by the CPUC for SoCalGas began in 1999.  Transwestern has participated throughout the process and in April, 2000, supported and jointly filed with 26 other participants including SoCal, the Comprehensive Settlement Agreement (CSA) to unbundle their intrastate system.  Briefly, the CSA:  1.  Creates firm tradable intrastate transmission rights;  2.  Establishes a secondary market for intrastate transmission capacity;  3.  Places SoCal at risk for recovery of backbone transmission costs;  4.  Establishes Hector Road as a formal receipt point;  5.  Creates firm tradable storage rights with a secondary market;  6.  Provides for core and noncore classes to be balanced separately to avoid cross-subsidization;  7.  Provides for anonymous monthly imbalance trading;  8.  Provides for trading OFO imbalance rights;  9.  Reduces minimum size requirements and eliminates core market share restrictions and  10.  Eliminates core subscription services.  </w:t>
      </w:r>
    </w:p>
    <w:p>
      <w:pPr>
        <w:pStyle w:val="Normal"/>
        <w:rPr/>
      </w:pPr>
      <w:r>
        <w:rPr/>
      </w:r>
    </w:p>
    <w:p>
      <w:pPr>
        <w:pStyle w:val="Normal"/>
        <w:rPr/>
      </w:pPr>
      <w:r>
        <w:rPr/>
        <w:t>On Nov. 21, 2000, Com. Bilas issued a Proposed Decision (PD) recommending approval of the Interim Settlement which did not go as far as the CSA to unbundle the system.  A full panel hearing was convened on May 22, 2001, to address arguments on the PD.  Like most participants, Transwestern participated and reiterated our support for the CSA.  Com. Bilas’ PD was on the Agenda throughout most of 2001 without any action taken due to a split commission and their concerns about deregulation following the heating season of 2000/2001, price spikes and the rolling electric blackouts that occurred. Finally on October 11, 2001, Com. Bilas revised his Proposed Decision to adopt the CSA with modifications.  These modifications included:  Revising the market concentration limits at receipt points (from 40 to 30%), rejection of the CSA reduction in the amount of intrastate capacity and storage reserved for the core and the adoption of a price cap for secondary market transaction.  On October 19</w:t>
      </w:r>
      <w:r>
        <w:rPr>
          <w:vertAlign w:val="superscript"/>
        </w:rPr>
        <w:t>th</w:t>
      </w:r>
      <w:r>
        <w:rPr/>
        <w:t>, Transwestern filed comments to support the PD with modifications except for the secondary market price cap.  On December 11, 2001, the Commission approved the revised PD with modifications.  This proceeding is now closed and SoCal is implementing the Order.</w:t>
      </w:r>
    </w:p>
    <w:p>
      <w:pPr>
        <w:pStyle w:val="Normal"/>
        <w:rPr/>
      </w:pPr>
      <w:r>
        <w:rPr/>
      </w:r>
    </w:p>
    <w:p>
      <w:pPr>
        <w:pStyle w:val="Normal"/>
        <w:rPr/>
      </w:pPr>
      <w:r>
        <w:rPr/>
        <w:t>Upcoming key dates as proposed by SoCal in their Implementation Plan:</w:t>
      </w:r>
    </w:p>
    <w:p>
      <w:pPr>
        <w:pStyle w:val="Normal"/>
        <w:rPr/>
      </w:pPr>
      <w:r>
        <w:rPr/>
      </w:r>
    </w:p>
    <w:p>
      <w:pPr>
        <w:pStyle w:val="Normal"/>
        <w:rPr/>
      </w:pPr>
      <w:r>
        <w:rPr/>
        <w:t>Jan. 17</w:t>
        <w:tab/>
        <w:tab/>
        <w:tab/>
        <w:t>SoCal files Implementation Plan</w:t>
      </w:r>
    </w:p>
    <w:p>
      <w:pPr>
        <w:pStyle w:val="Normal"/>
        <w:rPr/>
      </w:pPr>
      <w:r>
        <w:rPr/>
        <w:t>Feb. 14 &amp; 28</w:t>
        <w:tab/>
        <w:tab/>
        <w:t>Customer informational meetings and tariff workshops</w:t>
      </w:r>
    </w:p>
    <w:p>
      <w:pPr>
        <w:pStyle w:val="Normal"/>
        <w:rPr/>
      </w:pPr>
      <w:r>
        <w:rPr/>
        <w:t>Feb. 22</w:t>
        <w:tab/>
        <w:tab/>
        <w:t>SoCal files tariffs to implement Backbone Transmission Service</w:t>
      </w:r>
    </w:p>
    <w:p>
      <w:pPr>
        <w:pStyle w:val="Normal"/>
        <w:rPr/>
      </w:pPr>
      <w:r>
        <w:rPr/>
        <w:t>Mar. 15</w:t>
        <w:tab/>
        <w:tab/>
        <w:t>New RP capacity of 50 MMCF/d placed in-service at Needles</w:t>
      </w:r>
    </w:p>
    <w:p>
      <w:pPr>
        <w:pStyle w:val="Normal"/>
        <w:rPr/>
      </w:pPr>
      <w:r>
        <w:rPr/>
        <w:t>May 6</w:t>
        <w:tab/>
        <w:tab/>
        <w:tab/>
        <w:t>Backbone Rec. Pt. Informational packages sent to customers</w:t>
      </w:r>
    </w:p>
    <w:p>
      <w:pPr>
        <w:pStyle w:val="Normal"/>
        <w:rPr/>
      </w:pPr>
      <w:r>
        <w:rPr/>
        <w:t>May 8</w:t>
        <w:tab/>
        <w:tab/>
        <w:tab/>
        <w:t>Customer informational meeting</w:t>
      </w:r>
    </w:p>
    <w:p>
      <w:pPr>
        <w:pStyle w:val="Normal"/>
        <w:rPr/>
      </w:pPr>
      <w:r>
        <w:rPr/>
        <w:t>May 29 to June 5</w:t>
        <w:tab/>
        <w:t>Phase I Open Season</w:t>
      </w:r>
    </w:p>
    <w:p>
      <w:pPr>
        <w:pStyle w:val="Normal"/>
        <w:rPr/>
      </w:pPr>
      <w:r>
        <w:rPr/>
        <w:t>June 7 to June 12</w:t>
        <w:tab/>
        <w:t>Phase II Open Season</w:t>
      </w:r>
    </w:p>
    <w:p>
      <w:pPr>
        <w:pStyle w:val="Normal"/>
        <w:rPr/>
      </w:pPr>
      <w:r>
        <w:rPr/>
        <w:t>June 15 to June 21</w:t>
        <w:tab/>
        <w:t>Phase III Open Season</w:t>
      </w:r>
    </w:p>
    <w:p>
      <w:pPr>
        <w:pStyle w:val="Normal"/>
        <w:rPr/>
      </w:pPr>
      <w:r>
        <w:rPr/>
        <w:t>June 22</w:t>
        <w:tab/>
        <w:tab/>
        <w:t>Awarded Capacity posted</w:t>
      </w:r>
    </w:p>
    <w:p>
      <w:pPr>
        <w:pStyle w:val="Normal"/>
        <w:rPr/>
      </w:pPr>
      <w:r>
        <w:rPr/>
        <w:t>July 1</w:t>
        <w:tab/>
        <w:tab/>
        <w:tab/>
        <w:t>Implementation of Backbone Receipt Point Rights</w:t>
      </w:r>
    </w:p>
    <w:p>
      <w:pPr>
        <w:pStyle w:val="Normal"/>
        <w:rPr/>
      </w:pPr>
      <w:r>
        <w:rPr/>
      </w:r>
    </w:p>
    <w:p>
      <w:pPr>
        <w:pStyle w:val="Normal"/>
        <w:rPr/>
      </w:pPr>
      <w:r>
        <w:rPr/>
      </w:r>
    </w:p>
    <w:p>
      <w:pPr>
        <w:pStyle w:val="Normal"/>
        <w:rPr/>
      </w:pPr>
      <w:r>
        <w:rPr>
          <w:u w:val="single"/>
        </w:rPr>
        <w:t>I00-11-002  Adequacy of SoCalGas System</w:t>
      </w:r>
      <w:r>
        <w:rPr/>
        <w:t xml:space="preserve">.  This proceeding was originally opened as an investigation of SDG&amp;E to determine the adequacy of their gas supply and transmission system to provide service to present and future core and noncore customers.  On March 27, 2001, after considering customer complaints that SoCal should have been included in the proceeding, the Commission ruled that SoCal should be included but bifurcated the investigation into two phases with SoCal being Phase II.  On June 15, 2001, Transwestern filed testimony supporting SoCal’s alternative proposal for allocating firm receipt point capacity on an interim basis and urged the Commission to adopt the natural gas reform measures outlined in the CSA.  Transwestern took this position as an interim improvement over the “Windowing Procedure” for receipt point allocation in effect at the time.  No action was taken by the Commission until recently.  </w:t>
      </w:r>
    </w:p>
    <w:p>
      <w:pPr>
        <w:pStyle w:val="Normal"/>
        <w:rPr/>
      </w:pPr>
      <w:r>
        <w:rPr/>
      </w:r>
    </w:p>
    <w:p>
      <w:pPr>
        <w:pStyle w:val="Normal"/>
        <w:rPr/>
      </w:pPr>
      <w:r>
        <w:rPr/>
        <w:t xml:space="preserve">On January 3, 2002, the CPUC issued an Infrastructure Report assessing the state’s gas infrastructure for the three major utilities within California.  Their conclusion was that all three utilities, SoCalGas, PG&amp;E and SDG&amp;E, have adequate gas transmission and storage systems to provide core and noncore service with minor exceptions.  For SoCalGas, these exceptions were noted as constraints on two transmission locations known as the San Joaquin and Imperial Valley lines.  Then, with the CSA approved for implementation, the ALJ issued a ruling on January 7, 2002, that SDG&amp;E and SoCalGas file briefs by January 30, 2002 on the impact of unbundling ruling on this proceeding.  No reply briefs will be accepted.  My analysis is that the Commission would be hard pressed to find any significant system inadequacies with either of  the SDG&amp;E or SoCalGas systems given their January, 2002 Infrastructure Report and approval of open access on the SoCalGas system.  </w:t>
      </w:r>
    </w:p>
    <w:p>
      <w:pPr>
        <w:pStyle w:val="Normal"/>
        <w:rPr/>
      </w:pPr>
      <w:r>
        <w:rPr/>
      </w:r>
    </w:p>
    <w:p>
      <w:pPr>
        <w:pStyle w:val="Normal"/>
        <w:rPr/>
      </w:pPr>
      <w:r>
        <w:rPr/>
      </w:r>
    </w:p>
    <w:p>
      <w:pPr>
        <w:pStyle w:val="Normal"/>
        <w:rPr/>
      </w:pPr>
      <w:r>
        <w:rPr>
          <w:u w:val="single"/>
        </w:rPr>
        <w:t>A01-09-024  SoCalGas BCAP; A01-10-011 SDG&amp;E BCAP</w:t>
      </w:r>
      <w:r>
        <w:rPr/>
        <w:t>.  On September 21, 2001, SoCalGas filed its Biennial Cost Allocation Proceeding (BCAP) application to revise rates reflecting updated allocations among customers of non-gas commodity costs of service to be effective January 1, 2003.  On October 5, 2001, SDG&amp;E filed its BCAP and requested consolidation with SoCal’s proceeding.  Consolidation was granted by the Commission.  A prehearing conference was held on December 4, 2001, at which Transwestern supported a joint PHC statement, the proposed scope of issues and procedural schedule.  The procedural schedule called for direct testimony to be filed by April 19, hearings to begin May 21, a proposed decision by Nov. 12 and a final decision by Dec. 28, 2002.  Primary among the issues was SoCal’s proposal to develop rates based on embedded cost principles instead of the Commissions current policy of using the Long Run Marginal Cost (LRMC) allocation methodology.  Additionally, the parties also recognized that a decision by the Commission in the GIR proceeding could impact the BCAP.</w:t>
      </w:r>
    </w:p>
    <w:p>
      <w:pPr>
        <w:pStyle w:val="Normal"/>
        <w:rPr/>
      </w:pPr>
      <w:r>
        <w:rPr/>
      </w:r>
    </w:p>
    <w:p>
      <w:pPr>
        <w:pStyle w:val="Normal"/>
        <w:rPr/>
      </w:pPr>
      <w:r>
        <w:rPr/>
        <w:t>In early December, the Electric Generator Alliance (EGA) filed a Motion To Strike Testimony on Embedded Cost-Based Allocation or in the alternative to remove the testimony to another phase or proceeding.  The EGA argued that embedded cost principles were not consistent with Commission policy and would unduly complicate and prolong the proceeding.  PG&amp;E, among others, filed in support, adding that it would also “unlevel” the playing field between utilities since PG&amp;E rates are LRMC based.  On January 10, 2002, a hearing was held on EGA’s motion.  After hearing oral arguments, the ALJ stated she would issue a written ruling as soon as possible.  In regard to the procedural schedule, a telephonic “meet and confer” meeting will be held on January 22</w:t>
      </w:r>
      <w:r>
        <w:rPr>
          <w:vertAlign w:val="superscript"/>
        </w:rPr>
        <w:t>nd</w:t>
      </w:r>
      <w:r>
        <w:rPr/>
        <w:t xml:space="preserve"> to develop a revised schedule now that the GIR decision has been issued.  SoCalGas was ordered to revise its application and file it by March 4</w:t>
      </w:r>
      <w:r>
        <w:rPr>
          <w:vertAlign w:val="superscript"/>
        </w:rPr>
        <w:t>th</w:t>
      </w:r>
      <w:r>
        <w:rPr/>
        <w:t xml:space="preserve"> to reflect the impact of the CSA.</w:t>
      </w:r>
    </w:p>
    <w:p>
      <w:pPr>
        <w:pStyle w:val="Normal"/>
        <w:rPr/>
      </w:pPr>
      <w:r>
        <w:rPr/>
      </w:r>
    </w:p>
    <w:p>
      <w:pPr>
        <w:pStyle w:val="Normal"/>
        <w:rPr/>
      </w:pPr>
      <w:r>
        <w:rPr/>
      </w:r>
    </w:p>
    <w:p>
      <w:pPr>
        <w:pStyle w:val="Normal"/>
        <w:rPr/>
      </w:pPr>
      <w:r>
        <w:rPr>
          <w:u w:val="single"/>
        </w:rPr>
        <w:t>A01-10-011  PG&amp;E Gas Accord</w:t>
      </w:r>
      <w:r>
        <w:rPr/>
        <w:t>.  On October 9, 2001, PG&amp;E filed its application proposing that the currently approved market structure, rates and terms and conditions of service for transmission and storage be extended for two years from January 1, 2003 through December 31, 2004.  This extension request was based on their bankruptcy reorganization plan and other market uncertainties.  A prehearing conference was held on January 7</w:t>
      </w:r>
      <w:r>
        <w:rPr>
          <w:vertAlign w:val="superscript"/>
        </w:rPr>
        <w:t>th</w:t>
      </w:r>
      <w:r>
        <w:rPr/>
        <w:t xml:space="preserve"> at which time Transwestern made an appearance to assure participation in the proceeding.  ALJ Wong identified such issues as capacity restrictions and the open season process for relinquished and expansion capacity as issues that may require a hearing however, it was suggested these type of issues could be addressed through an advice letter filing.  Others suggested that hearings should be deferred until after FERC approves PG&amp;E’s Section 7 Application, which was requested by July 31, 2002.  ALJ Wong will consult with Com. Bilas and then issue a scoping memo and ruling.</w:t>
      </w:r>
    </w:p>
    <w:p>
      <w:pPr>
        <w:pStyle w:val="Normal"/>
        <w:rPr/>
      </w:pPr>
      <w:r>
        <w:rPr/>
      </w:r>
    </w:p>
    <w:p>
      <w:pPr>
        <w:pStyle w:val="Normal"/>
        <w:rPr/>
      </w:pPr>
      <w:r>
        <w:rPr/>
        <w:t>At issue in this proceeding is the impact of the Plan of Reorganization (POR) submitted by PG&amp;E to the Bankruptcy Judge and subsequent filings made at FERC to implement the POR.  In particular FERC filing CP02-41 requests that PG&amp;E’s backbone system be able to acquire a short, three mile pipeline into Oregon to establish an interconnect and market center with PG&amp;E GTN and Tuscarora pipelines and to become an open access interstate pipeline.  In early January, PG&amp;E representatives held a conference call with Transwestern and Enron to elicit support for their FERC filing.  Interventions are due January 29, 2002.  Transwestern will review its position and most likely intervene at a minimum.</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2002-01-15T19:02:00Z</dcterms:created>
  <dc:creator>ghass</dc:creator>
  <dc:description/>
  <dc:language>en-CA</dc:language>
  <cp:lastModifiedBy>ghass</cp:lastModifiedBy>
  <cp:lastPrinted>2002-01-15T15:24:00Z</cp:lastPrinted>
  <dcterms:modified xsi:type="dcterms:W3CDTF">2002-01-15T19:02:00Z</dcterms:modified>
  <cp:revision>2</cp:revision>
  <dc:subject/>
  <dc:title>CPUC Proceedings</dc:title>
</cp:coreProperties>
</file>