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September 13, 2000</w:t>
      </w:r>
    </w:p>
    <w:p>
      <w:pPr>
        <w:pStyle w:val="Normal"/>
        <w:jc w:val="both"/>
        <w:rPr>
          <w:sz w:val="22"/>
        </w:rPr>
      </w:pPr>
      <w:r>
        <w:rPr>
          <w:sz w:val="22"/>
        </w:rPr>
      </w:r>
    </w:p>
    <w:p>
      <w:pPr>
        <w:pStyle w:val="Normal"/>
        <w:jc w:val="both"/>
        <w:rPr>
          <w:sz w:val="22"/>
        </w:rPr>
      </w:pPr>
      <w:r>
        <w:rPr>
          <w:sz w:val="22"/>
        </w:rPr>
        <w:t>City Public Service of San Antonio</w:t>
      </w:r>
    </w:p>
    <w:p>
      <w:pPr>
        <w:pStyle w:val="Normal"/>
        <w:jc w:val="both"/>
        <w:rPr>
          <w:sz w:val="22"/>
        </w:rPr>
      </w:pPr>
      <w:r>
        <w:rPr>
          <w:sz w:val="22"/>
        </w:rPr>
        <w:t>Attn: Danny McWhirter</w:t>
      </w:r>
    </w:p>
    <w:p>
      <w:pPr>
        <w:pStyle w:val="Normal"/>
        <w:jc w:val="both"/>
        <w:rPr>
          <w:sz w:val="22"/>
        </w:rPr>
      </w:pPr>
      <w:r>
        <w:rPr>
          <w:sz w:val="22"/>
        </w:rPr>
        <w:t>P.O.Box 1771</w:t>
      </w:r>
    </w:p>
    <w:p>
      <w:pPr>
        <w:pStyle w:val="Normal"/>
        <w:jc w:val="both"/>
        <w:rPr>
          <w:sz w:val="22"/>
        </w:rPr>
      </w:pPr>
      <w:r>
        <w:rPr>
          <w:sz w:val="22"/>
        </w:rPr>
        <w:t>San Antonio, TX 78296-1771</w:t>
      </w:r>
    </w:p>
    <w:p>
      <w:pPr>
        <w:pStyle w:val="Normal"/>
        <w:jc w:val="both"/>
        <w:rPr>
          <w:sz w:val="22"/>
        </w:rPr>
      </w:pPr>
      <w:r>
        <w:rPr>
          <w:sz w:val="22"/>
        </w:rPr>
      </w:r>
    </w:p>
    <w:p>
      <w:pPr>
        <w:pStyle w:val="BodyText2"/>
        <w:ind w:hanging="720" w:start="720" w:end="0"/>
        <w:rPr/>
      </w:pPr>
      <w:r>
        <w:rPr>
          <w:sz w:val="22"/>
        </w:rPr>
        <w:t>Re:</w:t>
        <w:tab/>
        <w:t>Agreement for installation of additional equipment for the Natural Gas Pipeline Interconnect (the "</w:t>
      </w:r>
      <w:r>
        <w:rPr>
          <w:sz w:val="22"/>
          <w:u w:val="single"/>
        </w:rPr>
        <w:t>Interconnect</w:t>
      </w:r>
      <w:r>
        <w:rPr>
          <w:sz w:val="22"/>
        </w:rPr>
        <w:t xml:space="preserve">") between City Public Service of San Antonio and Houston Pipe Line Company located in Karnes County, Texas.  </w:t>
      </w:r>
    </w:p>
    <w:p>
      <w:pPr>
        <w:pStyle w:val="Normal"/>
        <w:jc w:val="both"/>
        <w:rPr>
          <w:sz w:val="22"/>
        </w:rPr>
      </w:pPr>
      <w:r>
        <w:rPr>
          <w:sz w:val="22"/>
        </w:rPr>
      </w:r>
    </w:p>
    <w:p>
      <w:pPr>
        <w:pStyle w:val="Normal"/>
        <w:jc w:val="both"/>
        <w:rPr>
          <w:sz w:val="22"/>
        </w:rPr>
      </w:pPr>
      <w:r>
        <w:rPr>
          <w:sz w:val="22"/>
        </w:rPr>
        <w:t>Dear City Public Service of San Antonio:</w:t>
      </w:r>
    </w:p>
    <w:p>
      <w:pPr>
        <w:pStyle w:val="Normal"/>
        <w:jc w:val="both"/>
        <w:rPr>
          <w:sz w:val="22"/>
        </w:rPr>
      </w:pPr>
      <w:r>
        <w:rPr>
          <w:sz w:val="22"/>
        </w:rPr>
      </w:r>
    </w:p>
    <w:p>
      <w:pPr>
        <w:pStyle w:val="Normal"/>
        <w:ind w:firstLine="720" w:end="0"/>
        <w:jc w:val="both"/>
        <w:rPr/>
      </w:pPr>
      <w:r>
        <w:rPr>
          <w:sz w:val="22"/>
        </w:rPr>
        <w:t>Houston Pipe Line Company, a Delaware corporation ("</w:t>
      </w:r>
      <w:r>
        <w:rPr>
          <w:sz w:val="22"/>
          <w:u w:val="single"/>
        </w:rPr>
        <w:t>HPL</w:t>
      </w:r>
      <w:r>
        <w:rPr>
          <w:sz w:val="22"/>
        </w:rPr>
        <w:t>") and City Public Service of San Antonio, a municipally owned utility ("</w:t>
      </w:r>
      <w:r>
        <w:rPr>
          <w:sz w:val="22"/>
          <w:u w:val="single"/>
        </w:rPr>
        <w:t>CPS</w:t>
      </w:r>
      <w:r>
        <w:rPr>
          <w:sz w:val="22"/>
        </w:rPr>
        <w:t>"), (each referred to as a “Party” or collectively as the "Parties"), have entered into that certain Agreement to Interconnect and Operate Natural Gas Pipeline Facilities (the "</w:t>
      </w:r>
      <w:r>
        <w:rPr>
          <w:sz w:val="22"/>
          <w:u w:val="single"/>
        </w:rPr>
        <w:t>IC Agreement</w:t>
      </w:r>
      <w:r>
        <w:rPr>
          <w:sz w:val="22"/>
        </w:rPr>
        <w:t>") dated June 1, 2000 governing the interconnection of pipeline facilities between HPL and CPS in Karnes County, Texas.  This letter agreement (this "</w:t>
      </w:r>
      <w:r>
        <w:rPr>
          <w:sz w:val="22"/>
          <w:u w:val="single"/>
        </w:rPr>
        <w:t>Agreement</w:t>
      </w:r>
      <w:r>
        <w:rPr>
          <w:sz w:val="22"/>
        </w:rPr>
        <w:t>") supplements the IC Agreement between HPL and CPS addressing certain details regarding the installation by HPL of additional equipment required for the Interconnect (the "</w:t>
      </w:r>
      <w:r>
        <w:rPr>
          <w:sz w:val="22"/>
          <w:u w:val="single"/>
        </w:rPr>
        <w:t>Additional Equipment</w:t>
      </w:r>
      <w:r>
        <w:rPr>
          <w:sz w:val="22"/>
        </w:rPr>
        <w:t xml:space="preserve">").  The Additional Equipment is required due to the installation of 24-inch flange by CPS instead of a 16-inch flange.  </w:t>
      </w:r>
    </w:p>
    <w:p>
      <w:pPr>
        <w:pStyle w:val="Normal"/>
        <w:jc w:val="both"/>
        <w:rPr>
          <w:sz w:val="22"/>
        </w:rPr>
      </w:pPr>
      <w:r>
        <w:rPr>
          <w:sz w:val="22"/>
        </w:rPr>
      </w:r>
    </w:p>
    <w:p>
      <w:pPr>
        <w:pStyle w:val="Normal"/>
        <w:jc w:val="both"/>
        <w:rPr/>
      </w:pPr>
      <w:r>
        <w:rPr>
          <w:sz w:val="22"/>
        </w:rPr>
        <w:tab/>
        <w:t>The Additional Equipment shall be designed, installed and constructed by HPL or its designee in accordance with Engineering Standards as adopted by Enron Operations Corp., as the same may be amended or supplemented from time to time and sound and prudent natural gas pipeline industry practice (the “</w:t>
      </w:r>
      <w:r>
        <w:rPr>
          <w:sz w:val="22"/>
          <w:u w:val="single"/>
        </w:rPr>
        <w:t>Standards</w:t>
      </w:r>
      <w:r>
        <w:rPr>
          <w:sz w:val="22"/>
        </w:rPr>
        <w:t xml:space="preserve">”). </w:t>
      </w:r>
    </w:p>
    <w:p>
      <w:pPr>
        <w:pStyle w:val="Normal"/>
        <w:jc w:val="both"/>
        <w:rPr>
          <w:sz w:val="22"/>
        </w:rPr>
      </w:pPr>
      <w:r>
        <w:rPr>
          <w:sz w:val="22"/>
        </w:rPr>
      </w:r>
    </w:p>
    <w:p>
      <w:pPr>
        <w:pStyle w:val="Normal"/>
        <w:ind w:firstLine="720" w:end="0"/>
        <w:jc w:val="both"/>
        <w:rPr>
          <w:sz w:val="22"/>
        </w:rPr>
      </w:pPr>
      <w:r>
        <w:rPr>
          <w:sz w:val="22"/>
        </w:rPr>
        <w:t xml:space="preserve">HPL and CPS agree and acknowledge that the costs associated with the design, installation and construction of the Additional Equipment are in excess of the costs agreed to in the IC Agreement.  HPL and CPS agree that CPS shall reimburse HPL for all direct and indirect costs associated with the design, installation, procurement, and construction of the Additional Equipment.  HPL shall invoice CPS for such costs and CPS shall pay such invoice within 10 days of CPS’ receipt thereof.  </w:t>
      </w:r>
    </w:p>
    <w:p>
      <w:pPr>
        <w:pStyle w:val="Normal"/>
        <w:jc w:val="both"/>
        <w:rPr>
          <w:sz w:val="22"/>
        </w:rPr>
      </w:pPr>
      <w:r>
        <w:rPr>
          <w:sz w:val="22"/>
        </w:rPr>
      </w:r>
    </w:p>
    <w:p>
      <w:pPr>
        <w:pStyle w:val="Normal"/>
        <w:ind w:firstLine="720" w:end="0"/>
        <w:jc w:val="both"/>
        <w:rPr/>
      </w:pPr>
      <w:r>
        <w:rPr>
          <w:sz w:val="22"/>
        </w:rPr>
        <w:t>CPS agrees to indemnify, defend and hold harmless HPL and its respective parents and other affiliates, successors, assigns, legal representatives, officers, directors, shareholders, agents and employees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installation, operation, maintenance, and ownership of the Compressor by CPS (or any of CPS' employees, agents, representatives, contractors or subcontractors), or (ii) any act or omission by CPS (or CPS' employees, agents, representatives, contractors or subcontractors) with regard to this Agreement or any activities conducted by CPS (or any of CPS' employees, agents, representatives, contractors or subcontractors) pursuant to this Agreement.</w:t>
      </w:r>
      <w:r>
        <w:rPr>
          <w:b/>
          <w:sz w:val="22"/>
        </w:rPr>
        <w:t xml:space="preserve">  </w:t>
      </w:r>
      <w:r>
        <w:rPr>
          <w:sz w:val="22"/>
        </w:rPr>
        <w:t>This indemnity provision shall survive termination of this Agreement.</w:t>
      </w:r>
    </w:p>
    <w:p>
      <w:pPr>
        <w:pStyle w:val="Normal"/>
        <w:jc w:val="both"/>
        <w:rPr>
          <w:sz w:val="22"/>
        </w:rPr>
      </w:pPr>
      <w:r>
        <w:rPr>
          <w:sz w:val="22"/>
        </w:rPr>
      </w:r>
    </w:p>
    <w:p>
      <w:pPr>
        <w:pStyle w:val="Heading2"/>
        <w:rPr/>
      </w:pPr>
      <w:r>
        <w:rPr>
          <w:sz w:val="22"/>
        </w:rPr>
        <w:t>Any dispute relating to this Agreement shall be resolved by binding, self-administered arbitration pursuant to the Commercial Arbitration Rules of the American Arbitration Association (“</w:t>
      </w:r>
      <w:r>
        <w:rPr>
          <w:sz w:val="22"/>
          <w:u w:val="single"/>
        </w:rPr>
        <w:t>AAA</w:t>
      </w:r>
      <w:r>
        <w:rPr>
          <w:sz w:val="22"/>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BodyTextIndent"/>
        <w:ind w:hanging="0" w:end="0"/>
        <w:jc w:val="both"/>
        <w:rPr>
          <w:b/>
          <w:sz w:val="22"/>
        </w:rPr>
      </w:pPr>
      <w:r>
        <w:rPr>
          <w:b/>
          <w:sz w:val="22"/>
        </w:rPr>
      </w:r>
    </w:p>
    <w:p>
      <w:pPr>
        <w:pStyle w:val="BodyTextIndent2"/>
        <w:rPr/>
      </w:pPr>
      <w:r>
        <w:rPr/>
        <w:t xml:space="preserve">THIS AGREEMENT SHALL BE GOVERNED BY AND CONSTRUED IN ACCORDANCE WITH THE LAWS OF THE STATE OF TEXAS, EXCLUDING ANY CONFLICTS-OF-LAW RULE OR PRINCIPLE WHICH MIGHT REFER TO THE LAWS OF ANOTHER STATE.  </w:t>
      </w:r>
    </w:p>
    <w:p>
      <w:pPr>
        <w:pStyle w:val="BodyTextIndent"/>
        <w:jc w:val="both"/>
        <w:rPr/>
      </w:pPr>
      <w:r>
        <w:rPr/>
      </w:r>
    </w:p>
    <w:p>
      <w:pPr>
        <w:pStyle w:val="BodyText"/>
        <w:rPr/>
      </w:pPr>
      <w:r>
        <w:rPr/>
        <w:tab/>
        <w:t>This Agreement shall operate so long as the IC Agreement is in full force and effect, and shall terminate concurrently with the termination of the IC Agreement.</w:t>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tab/>
      </w:r>
    </w:p>
    <w:p>
      <w:pPr>
        <w:pStyle w:val="Normal"/>
        <w:jc w:val="both"/>
        <w:rPr>
          <w:sz w:val="22"/>
        </w:rPr>
      </w:pPr>
      <w:r>
        <w:rPr>
          <w:sz w:val="22"/>
        </w:rPr>
        <w:t>AGREED TO this __ day of September, 2000.</w:t>
      </w:r>
    </w:p>
    <w:p>
      <w:pPr>
        <w:pStyle w:val="Normal"/>
        <w:jc w:val="both"/>
        <w:rPr>
          <w:sz w:val="22"/>
        </w:rPr>
      </w:pPr>
      <w:r>
        <w:rPr>
          <w:sz w:val="22"/>
        </w:rPr>
      </w:r>
    </w:p>
    <w:p>
      <w:pPr>
        <w:pStyle w:val="BodyText2"/>
        <w:rPr>
          <w:sz w:val="22"/>
        </w:rPr>
      </w:pPr>
      <w:r>
        <w:rPr>
          <w:sz w:val="22"/>
        </w:rPr>
        <w:t>CITY PUBLIC SERVICE OF</w:t>
        <w:tab/>
        <w:tab/>
        <w:tab/>
        <w:tab/>
        <w:t>HOUSTON PIPE LINE COMPANY</w:t>
      </w:r>
    </w:p>
    <w:p>
      <w:pPr>
        <w:pStyle w:val="BodyText2"/>
        <w:rPr>
          <w:sz w:val="22"/>
        </w:rPr>
      </w:pPr>
      <w:r>
        <w:rPr>
          <w:sz w:val="22"/>
        </w:rPr>
        <w:t>SAN ANTONIO</w:t>
      </w:r>
    </w:p>
    <w:p>
      <w:pPr>
        <w:pStyle w:val="BodyText2"/>
        <w:rPr>
          <w:sz w:val="22"/>
        </w:rPr>
      </w:pPr>
      <w:r>
        <w:rPr>
          <w:sz w:val="22"/>
        </w:rPr>
      </w:r>
    </w:p>
    <w:p>
      <w:pPr>
        <w:pStyle w:val="BodyText2"/>
        <w:rPr>
          <w:sz w:val="22"/>
        </w:rPr>
      </w:pPr>
      <w:r>
        <w:rPr>
          <w:sz w:val="22"/>
        </w:rPr>
        <w:tab/>
      </w:r>
    </w:p>
    <w:p>
      <w:pPr>
        <w:pStyle w:val="Normal"/>
        <w:tabs>
          <w:tab w:val="clear" w:pos="720"/>
          <w:tab w:val="left" w:pos="4320" w:leader="none"/>
        </w:tabs>
        <w:jc w:val="both"/>
        <w:rPr>
          <w:sz w:val="22"/>
        </w:rPr>
      </w:pPr>
      <w:r>
        <w:rPr>
          <w:sz w:val="22"/>
        </w:rPr>
        <w:t>___________________________________</w:t>
        <w:tab/>
        <w:tab/>
        <w:t>________________________________</w:t>
        <w:tab/>
      </w:r>
    </w:p>
    <w:p>
      <w:pPr>
        <w:pStyle w:val="Normal"/>
        <w:tabs>
          <w:tab w:val="clear" w:pos="720"/>
          <w:tab w:val="left" w:pos="4320" w:leader="none"/>
        </w:tabs>
        <w:jc w:val="both"/>
        <w:rPr>
          <w:sz w:val="22"/>
        </w:rPr>
      </w:pPr>
      <w:r>
        <w:rPr>
          <w:sz w:val="22"/>
        </w:rPr>
        <w:t>By:  _______________________________</w:t>
        <w:tab/>
        <w:tab/>
        <w:t>By:  Stephen C. Schneider</w:t>
      </w:r>
    </w:p>
    <w:p>
      <w:pPr>
        <w:pStyle w:val="Normal"/>
        <w:tabs>
          <w:tab w:val="clear" w:pos="720"/>
          <w:tab w:val="left" w:pos="4320" w:leader="none"/>
        </w:tabs>
        <w:jc w:val="both"/>
        <w:rPr>
          <w:sz w:val="22"/>
        </w:rPr>
      </w:pPr>
      <w:r>
        <w:rPr>
          <w:sz w:val="22"/>
        </w:rPr>
        <w:t xml:space="preserve">Title:  ______________________________ </w:t>
        <w:tab/>
        <w:tab/>
        <w:t>Title:  Vice President</w:t>
      </w:r>
    </w:p>
    <w:p>
      <w:pPr>
        <w:pStyle w:val="Normal"/>
        <w:tabs>
          <w:tab w:val="clear" w:pos="720"/>
          <w:tab w:val="left" w:pos="4320" w:leader="none"/>
        </w:tabs>
        <w:jc w:val="both"/>
        <w:rPr>
          <w:sz w:val="22"/>
        </w:rPr>
      </w:pPr>
      <w:r>
        <w:rPr>
          <w:sz w:val="22"/>
        </w:rPr>
      </w:r>
    </w:p>
    <w:sectPr>
      <w:headerReference w:type="default" r:id="rId2"/>
      <w:headerReference w:type="first" r:id="rId3"/>
      <w:type w:val="nextPage"/>
      <w:pgSz w:w="12240" w:h="15840"/>
      <w:pgMar w:left="1440" w:right="1440" w:gutter="0" w:header="720" w:top="1440" w:footer="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City Public Service of San Antonio, Page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2000-09-13T13:44:00Z</dcterms:created>
  <dc:creator>Shonnie Daniel</dc:creator>
  <dc:description/>
  <cp:keywords>CARMICHAEL FIELD 4" P/L</cp:keywords>
  <dc:language>en-CA</dc:language>
  <cp:lastModifiedBy>egillas</cp:lastModifiedBy>
  <cp:lastPrinted>2000-09-14T09:50:00Z</cp:lastPrinted>
  <dcterms:modified xsi:type="dcterms:W3CDTF">2000-09-14T13:55:00Z</dcterms:modified>
  <cp:revision>23</cp:revision>
  <dc:subject>ONYX GATHERING COMPANY, L.C.</dc:subject>
  <dc:title>LETTER OF UNDERSTANDINDG</dc:title>
</cp:coreProperties>
</file>