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DOCKET NO.  23220</w:t>
      </w:r>
    </w:p>
    <w:p>
      <w:pPr>
        <w:pStyle w:val="Header"/>
        <w:tabs>
          <w:tab w:val="clear" w:pos="4680"/>
          <w:tab w:val="clear" w:pos="9360"/>
        </w:tabs>
        <w:spacing w:before="0" w:after="0"/>
        <w:rPr>
          <w:sz w:val="24"/>
        </w:rPr>
      </w:pPr>
      <w:r>
        <w:rPr>
          <w:sz w:val="24"/>
        </w:rPr>
      </w:r>
    </w:p>
    <w:p>
      <w:pPr>
        <w:pStyle w:val="Normal"/>
        <w:rPr>
          <w:rFonts w:ascii="Times New Roman" w:hAnsi="Times New Roman" w:cs="Times New Roman"/>
          <w:sz w:val="24"/>
        </w:rPr>
      </w:pPr>
      <w:r>
        <w:rPr>
          <w:rFonts w:cs="Times New Roman" w:ascii="Times New Roman" w:hAnsi="Times New Roman"/>
          <w:sz w:val="24"/>
        </w:rPr>
      </w:r>
    </w:p>
    <w:tbl>
      <w:tblPr>
        <w:tblW w:w="9216" w:type="dxa"/>
        <w:jc w:val="start"/>
        <w:tblInd w:w="0" w:type="dxa"/>
        <w:tblLayout w:type="fixed"/>
        <w:tblCellMar>
          <w:top w:w="0" w:type="dxa"/>
          <w:start w:w="108" w:type="dxa"/>
          <w:bottom w:w="0" w:type="dxa"/>
          <w:end w:w="108" w:type="dxa"/>
        </w:tblCellMar>
      </w:tblPr>
      <w:tblGrid>
        <w:gridCol w:w="4428"/>
        <w:gridCol w:w="360"/>
        <w:gridCol w:w="4428"/>
      </w:tblGrid>
      <w:tr>
        <w:trPr/>
        <w:tc>
          <w:tcPr>
            <w:tcW w:w="4428" w:type="dxa"/>
            <w:tcBorders/>
          </w:tcPr>
          <w:p>
            <w:pPr>
              <w:pStyle w:val="Normal"/>
              <w:ind w:end="-18"/>
              <w:rPr>
                <w:rFonts w:ascii="Times New Roman" w:hAnsi="Times New Roman" w:cs="Times New Roman"/>
                <w:b/>
                <w:sz w:val="24"/>
              </w:rPr>
            </w:pPr>
            <w:r>
              <w:rPr>
                <w:rFonts w:cs="Times New Roman" w:ascii="Times New Roman" w:hAnsi="Times New Roman"/>
                <w:b/>
                <w:sz w:val="24"/>
              </w:rPr>
              <w:t>PETITION OF THE ELECTRIC RELIABILITY COUNCIL OF TEXAS FOR APPROVAL OF THE ERCOT PROTOCOLS</w:t>
            </w:r>
          </w:p>
        </w:tc>
        <w:tc>
          <w:tcPr>
            <w:tcW w:w="360" w:type="dxa"/>
            <w:tcBorders/>
          </w:tcPr>
          <w:p>
            <w:pPr>
              <w:pStyle w:val="Normal"/>
              <w:rPr>
                <w:rFonts w:ascii="Times New Roman" w:hAnsi="Times New Roman" w:cs="Times New Roman"/>
                <w:b/>
                <w:sz w:val="24"/>
              </w:rPr>
            </w:pPr>
            <w:r>
              <w:rPr>
                <w:rFonts w:cs="Times New Roman" w:ascii="Times New Roman" w:hAnsi="Times New Roman"/>
                <w:b/>
                <w:sz w:val="24"/>
              </w:rPr>
              <w:t>§</w:t>
            </w:r>
          </w:p>
          <w:p>
            <w:pPr>
              <w:pStyle w:val="Normal"/>
              <w:rPr>
                <w:rFonts w:ascii="Times New Roman" w:hAnsi="Times New Roman" w:cs="Times New Roman"/>
                <w:b/>
                <w:sz w:val="24"/>
              </w:rPr>
            </w:pPr>
            <w:r>
              <w:rPr>
                <w:rFonts w:cs="Times New Roman" w:ascii="Times New Roman" w:hAnsi="Times New Roman"/>
                <w:b/>
                <w:sz w:val="24"/>
              </w:rPr>
              <w:t>§</w:t>
            </w:r>
          </w:p>
          <w:p>
            <w:pPr>
              <w:pStyle w:val="Normal"/>
              <w:rPr>
                <w:rFonts w:ascii="Times New Roman" w:hAnsi="Times New Roman" w:cs="Times New Roman"/>
                <w:b/>
                <w:sz w:val="24"/>
              </w:rPr>
            </w:pPr>
            <w:r>
              <w:rPr>
                <w:rFonts w:cs="Times New Roman" w:ascii="Times New Roman" w:hAnsi="Times New Roman"/>
                <w:b/>
                <w:sz w:val="24"/>
              </w:rPr>
              <w:t>§</w:t>
            </w:r>
          </w:p>
          <w:p>
            <w:pPr>
              <w:pStyle w:val="Normal"/>
              <w:rPr>
                <w:rFonts w:ascii="Times New Roman" w:hAnsi="Times New Roman" w:cs="Times New Roman"/>
                <w:b/>
                <w:sz w:val="24"/>
              </w:rPr>
            </w:pPr>
            <w:r>
              <w:rPr>
                <w:rFonts w:cs="Times New Roman" w:ascii="Times New Roman" w:hAnsi="Times New Roman"/>
                <w:b/>
                <w:sz w:val="24"/>
              </w:rPr>
              <w:t>§</w:t>
            </w:r>
          </w:p>
          <w:p>
            <w:pPr>
              <w:pStyle w:val="Normal"/>
              <w:rPr>
                <w:rFonts w:ascii="Times New Roman" w:hAnsi="Times New Roman" w:cs="Times New Roman"/>
                <w:b/>
                <w:sz w:val="24"/>
              </w:rPr>
            </w:pPr>
            <w:r>
              <w:rPr>
                <w:rFonts w:cs="Times New Roman" w:ascii="Times New Roman" w:hAnsi="Times New Roman"/>
                <w:b/>
                <w:sz w:val="24"/>
              </w:rPr>
              <w:t>§</w:t>
            </w:r>
          </w:p>
        </w:tc>
        <w:tc>
          <w:tcPr>
            <w:tcW w:w="4428" w:type="dxa"/>
            <w:tcBorders/>
          </w:tcPr>
          <w:p>
            <w:pPr>
              <w:pStyle w:val="Normal"/>
              <w:jc w:val="center"/>
              <w:rPr>
                <w:rFonts w:ascii="Times New Roman" w:hAnsi="Times New Roman" w:cs="Times New Roman"/>
                <w:b/>
                <w:sz w:val="24"/>
              </w:rPr>
            </w:pPr>
            <w:r>
              <w:rPr>
                <w:rFonts w:cs="Times New Roman" w:ascii="Times New Roman" w:hAnsi="Times New Roman"/>
                <w:b/>
                <w:sz w:val="24"/>
              </w:rPr>
              <w:t>BEFORE THE</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PUBLIC UTILITY COMMISSION</w:t>
            </w:r>
          </w:p>
          <w:p>
            <w:pPr>
              <w:pStyle w:val="Normal"/>
              <w:jc w:val="center"/>
              <w:rPr>
                <w:rFonts w:ascii="Times New Roman" w:hAnsi="Times New Roman" w:cs="Times New Roman"/>
                <w:b/>
                <w:sz w:val="24"/>
              </w:rPr>
            </w:pPr>
            <w:r>
              <w:rPr>
                <w:rFonts w:cs="Times New Roman" w:ascii="Times New Roman" w:hAnsi="Times New Roman"/>
                <w:b/>
                <w:sz w:val="24"/>
              </w:rPr>
              <w:br/>
              <w:t>OF TEXAS</w:t>
            </w:r>
          </w:p>
        </w:tc>
      </w:tr>
    </w:tbl>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Heading2"/>
        <w:ind w:hanging="0" w:start="0"/>
        <w:rPr>
          <w:rFonts w:ascii="Times New Roman" w:hAnsi="Times New Roman" w:cs="Times New Roman"/>
          <w:sz w:val="24"/>
        </w:rPr>
      </w:pPr>
      <w:r>
        <w:rPr>
          <w:rFonts w:cs="Times New Roman" w:ascii="Times New Roman" w:hAnsi="Times New Roman"/>
          <w:sz w:val="24"/>
        </w:rPr>
        <w:t>SAN ANTONIO CITY PUBLIC SERVICE’S INITIAL BRIEF</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TO THE HONORABLE PUBLIC UTILITY COMMISSION:</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NOW COMES the City of San Antonio, acting by and through the City Public Service Board (CPS), and files this initial Brief:</w:t>
      </w:r>
    </w:p>
    <w:p>
      <w:pPr>
        <w:pStyle w:val="Normal"/>
        <w:spacing w:lineRule="auto" w:line="360"/>
        <w:rPr>
          <w:rFonts w:ascii="Times New Roman" w:hAnsi="Times New Roman" w:cs="Times New Roman"/>
          <w:sz w:val="24"/>
        </w:rPr>
      </w:pPr>
      <w:r>
        <w:rPr>
          <w:rFonts w:cs="Times New Roman" w:ascii="Times New Roman" w:hAnsi="Times New Roman"/>
          <w:sz w:val="24"/>
        </w:rPr>
      </w:r>
    </w:p>
    <w:p>
      <w:pPr>
        <w:pStyle w:val="Normal"/>
        <w:spacing w:lineRule="auto" w:line="360"/>
        <w:rPr>
          <w:rFonts w:ascii="Times New Roman" w:hAnsi="Times New Roman" w:cs="Times New Roman"/>
          <w:sz w:val="24"/>
        </w:rPr>
      </w:pPr>
      <w:r>
        <w:rPr>
          <w:rFonts w:cs="Times New Roman" w:ascii="Times New Roman" w:hAnsi="Times New Roman"/>
          <w:sz w:val="24"/>
        </w:rPr>
        <w:t>CPS provides the following responses to the questions raised in this proceeding regarding the ERCOT Protocols.  Although not all of the issues raised by Parties are addressed in these responses, CPS reserves the right to address all issues raised through Reply comments, testimony, briefing or by other means.</w:t>
      </w:r>
    </w:p>
    <w:p>
      <w:pPr>
        <w:pStyle w:val="Normal"/>
        <w:rPr>
          <w:rFonts w:ascii="Times New Roman" w:hAnsi="Times New Roman" w:cs="Times New Roman"/>
          <w:sz w:val="24"/>
        </w:rPr>
      </w:pPr>
      <w:r>
        <w:rPr>
          <w:rFonts w:cs="Times New Roman" w:ascii="Times New Roman" w:hAnsi="Times New Roman"/>
          <w:sz w:val="24"/>
        </w:rPr>
      </w:r>
    </w:p>
    <w:p>
      <w:pPr>
        <w:pStyle w:val="Question"/>
        <w:rPr>
          <w:rFonts w:ascii="Times New Roman" w:hAnsi="Times New Roman" w:cs="Times New Roman"/>
          <w:sz w:val="24"/>
        </w:rPr>
      </w:pPr>
      <w:r>
        <w:rPr>
          <w:rFonts w:cs="Times New Roman" w:ascii="Times New Roman" w:hAnsi="Times New Roman"/>
          <w:sz w:val="24"/>
        </w:rPr>
        <w:t>ISSUE:  PUC 1</w:t>
        <w:tab/>
      </w:r>
    </w:p>
    <w:p>
      <w:pPr>
        <w:pStyle w:val="Question"/>
        <w:rPr>
          <w:rFonts w:ascii="Times New Roman" w:hAnsi="Times New Roman" w:cs="Times New Roman"/>
          <w:sz w:val="24"/>
        </w:rPr>
      </w:pPr>
      <w:r>
        <w:rPr>
          <w:rFonts w:cs="Times New Roman" w:ascii="Times New Roman" w:hAnsi="Times New Roman"/>
          <w:sz w:val="24"/>
        </w:rPr>
        <w:t>Are there any major deficiencies in the version of the Protocols to be implemented on June 1, 2001 that will result in a materially flawed market design?  If so, what measures should be put into place by June 1, 2001 including, if necessary, interim measures, to avoid any major problems upon the implementation of the Protocols?</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CPS believes that there are several aspects of the market design that are flawed and inconsistent with a competitive market.  However, with respect to June 1, 2001 implementation, CPS believes that the only critical issue is the correction of the problems identified in its response to issue CPS-6.</w:t>
      </w:r>
    </w:p>
    <w:p>
      <w:pPr>
        <w:pStyle w:val="Response"/>
        <w:rPr>
          <w:rFonts w:ascii="Times New Roman" w:hAnsi="Times New Roman" w:cs="Times New Roman"/>
          <w:sz w:val="24"/>
        </w:rPr>
      </w:pPr>
      <w:r>
        <w:rPr>
          <w:rFonts w:cs="Times New Roman" w:ascii="Times New Roman" w:hAnsi="Times New Roman"/>
          <w:sz w:val="24"/>
        </w:rPr>
        <w:tab/>
        <w:tab/>
        <w:tab/>
      </w:r>
    </w:p>
    <w:p>
      <w:pPr>
        <w:pStyle w:val="Question"/>
        <w:rPr>
          <w:rFonts w:ascii="Times New Roman" w:hAnsi="Times New Roman" w:cs="Times New Roman"/>
          <w:sz w:val="24"/>
        </w:rPr>
      </w:pPr>
      <w:r>
        <w:rPr>
          <w:rFonts w:cs="Times New Roman" w:ascii="Times New Roman" w:hAnsi="Times New Roman"/>
          <w:sz w:val="24"/>
        </w:rPr>
        <w:t>ISSUE:  PUC 2</w:t>
        <w:tab/>
      </w:r>
    </w:p>
    <w:p>
      <w:pPr>
        <w:pStyle w:val="Question"/>
        <w:rPr>
          <w:rFonts w:ascii="Times New Roman" w:hAnsi="Times New Roman" w:cs="Times New Roman"/>
          <w:sz w:val="24"/>
        </w:rPr>
      </w:pPr>
      <w:r>
        <w:rPr>
          <w:rFonts w:cs="Times New Roman" w:ascii="Times New Roman" w:hAnsi="Times New Roman"/>
          <w:sz w:val="24"/>
        </w:rPr>
        <w:t>Is there a potential for gaming in the resolution of Local Congestion and in the resolution of interzonal congestion prior to conversion to a direct assignment of cost methodology? If so, what measures should be taken to prevent gaming, including any interim measures?</w:t>
        <w:tab/>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CPS believes that any mechanism that socializes costs rather than assigning responsibility based upon the principles of cost causation is an invitation for gaming behavior and inconsistent with the existence of a competitive market.  In its Order 2000, the FERC issued the following accurate statements regarding prices and cost averaging:</w:t>
      </w:r>
      <w:r>
        <w:rPr>
          <w:rStyle w:val="FootnoteCharacters"/>
          <w:rStyle w:val="FootnoteReference"/>
          <w:rFonts w:cs="Times New Roman" w:ascii="Times New Roman" w:hAnsi="Times New Roman"/>
          <w:sz w:val="24"/>
        </w:rPr>
        <w:footnoteReference w:id="2"/>
      </w:r>
    </w:p>
    <w:p>
      <w:pPr>
        <w:pStyle w:val="Response"/>
        <w:rPr>
          <w:rFonts w:ascii="Times New Roman" w:hAnsi="Times New Roman" w:cs="Times New Roman"/>
          <w:sz w:val="24"/>
        </w:rPr>
      </w:pPr>
      <w:r>
        <w:rPr>
          <w:rFonts w:cs="Times New Roman" w:ascii="Times New Roman" w:hAnsi="Times New Roman"/>
          <w:sz w:val="24"/>
        </w:rPr>
      </w:r>
    </w:p>
    <w:p>
      <w:pPr>
        <w:pStyle w:val="Normal"/>
        <w:ind w:start="720" w:end="720"/>
        <w:jc w:val="both"/>
        <w:rPr>
          <w:rFonts w:ascii="Times New Roman" w:hAnsi="Times New Roman" w:cs="Times New Roman"/>
          <w:sz w:val="24"/>
        </w:rPr>
      </w:pPr>
      <w:r>
        <w:rPr>
          <w:rFonts w:cs="Times New Roman" w:ascii="Times New Roman" w:hAnsi="Times New Roman"/>
          <w:sz w:val="24"/>
        </w:rPr>
        <w:t>Market designs that base prices on the averaging or socialization of costs, may distort consumption, production, and investment decisions and ultimately lead to economically inefficient outcomes.  Where possible and cost effective, cost causality principles can be used to price services and eliminate averaging.</w:t>
      </w:r>
    </w:p>
    <w:p>
      <w:pPr>
        <w:pStyle w:val="Normal"/>
        <w:ind w:start="720" w:end="720"/>
        <w:jc w:val="both"/>
        <w:rPr>
          <w:rFonts w:ascii="Times New Roman" w:hAnsi="Times New Roman" w:cs="Times New Roman"/>
          <w:sz w:val="24"/>
        </w:rPr>
      </w:pPr>
      <w:r>
        <w:rPr>
          <w:rFonts w:cs="Times New Roman" w:ascii="Times New Roman" w:hAnsi="Times New Roman"/>
          <w:sz w:val="24"/>
        </w:rPr>
      </w:r>
    </w:p>
    <w:p>
      <w:pPr>
        <w:pStyle w:val="Normal"/>
        <w:ind w:start="720" w:end="720"/>
        <w:jc w:val="both"/>
        <w:rPr>
          <w:rFonts w:ascii="Times New Roman" w:hAnsi="Times New Roman" w:cs="Times New Roman"/>
          <w:sz w:val="24"/>
        </w:rPr>
      </w:pPr>
      <w:r>
        <w:rPr>
          <w:rFonts w:cs="Times New Roman" w:ascii="Times New Roman" w:hAnsi="Times New Roman"/>
          <w:sz w:val="24"/>
        </w:rPr>
        <w:t>For example, in some congestion management mechanisms, the cost of alleviating congestion is spread over all loads.  This scheme could have some generators creating monetary benefits for other generators.  In addition, it could lead to over-consumption of power by some loads and under-consumption by other loads.  Moreover, such averaging mechanisms for congestion management do not send the correct price signals for the location of new generation, thus leading to problems with long-term implications.</w:t>
      </w:r>
    </w:p>
    <w:p>
      <w:pPr>
        <w:pStyle w:val="Normal"/>
        <w:ind w:start="720" w:end="720"/>
        <w:jc w:val="both"/>
        <w:rPr>
          <w:rFonts w:ascii="Times New Roman" w:hAnsi="Times New Roman" w:cs="Times New Roman"/>
          <w:sz w:val="24"/>
        </w:rPr>
      </w:pPr>
      <w:r>
        <w:rPr>
          <w:rFonts w:cs="Times New Roman" w:ascii="Times New Roman" w:hAnsi="Times New Roman"/>
          <w:sz w:val="24"/>
        </w:rPr>
      </w:r>
    </w:p>
    <w:p>
      <w:pPr>
        <w:pStyle w:val="Normal"/>
        <w:ind w:start="720" w:end="720"/>
        <w:jc w:val="both"/>
        <w:rPr>
          <w:rFonts w:ascii="Times New Roman" w:hAnsi="Times New Roman" w:cs="Times New Roman"/>
          <w:sz w:val="24"/>
        </w:rPr>
      </w:pPr>
      <w:r>
        <w:rPr>
          <w:rFonts w:cs="Times New Roman" w:ascii="Times New Roman" w:hAnsi="Times New Roman"/>
          <w:sz w:val="24"/>
        </w:rPr>
        <w:t>Moreover, if pass-throughs or uplift charges are paid by all load to ensure bid-cost recovery, as in some approved ISO market designs, it may be appropriate to couple these pricing mechanisms with incentive mechanisms for the RTO to control them.</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As stated on many previous occasions, CPS believes that the existence of the postage stamp approach for interzonal congestion management is inappropriate, and is one of the weakest points in an otherwise very promising market structure and design.  For this reason, CPS does not believe that it is appropriate for the postage stamp method to be used in ERCOT for interzonal congestion, at least not beyond 12/31/01 when the bulk of the generation in ERCOT officially becomes deregulated.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Nonetheless, in the spirit of compromise, CPS put a clothes pin on its nose and agreed to the implementation of the postage stamp method with a $20 million threshold, with the understanding that, in the absence of the zonal method, the $20 million threshold was to track the value of the CSCs that would have otherwise been reflected under the zonal method.  However, as demonstrated in the response to issue CPS-6, CPS does not believe that the tracking equations in the Protocols properly reflect this value.  Thus, to the extent the postage stamp mechanism remains in place as reflected in the Protocols, CPS believes that it is imperative to make the changes outlined in the response to issue CPS-6 to ensure that the improper market incentives, behavior and outcomes induced by such a mechanism are not unduly prolonged.  Without the implementation of the changes recommended in CPS-6, CPS does not support the application of the postage stamp method in ERCOT beyond January 1, 2002.</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CPS also has similar concerns with respect to the allocation of costs associated with local congestion.  In the local congestion scheme, there are two scenarios—one where a “market solution,” as defined, exists, and one where a market solution does not exist.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With respect to the market solution scenario, CPS observes that it is much like that of interzonal congestion, where there are multiple users of a constrained interface and resources are redispatched to solve the congestion.  The primary difference is that, under the zonal model adopted in ERCOT, local congestion occurs within a single zone.  However, unlike interzonal congestion, there has been little stakeholder discussion regarding the option of directly assigning the cost of local congestion to the users of the constrained interface based upon the principles of cost causation.</w:t>
      </w:r>
      <w:r>
        <w:rPr>
          <w:rStyle w:val="FootnoteCharacters"/>
          <w:rStyle w:val="FootnoteReference"/>
          <w:rFonts w:cs="Times New Roman" w:ascii="Times New Roman" w:hAnsi="Times New Roman"/>
          <w:sz w:val="24"/>
        </w:rPr>
        <w:footnoteReference w:id="3"/>
      </w:r>
      <w:r>
        <w:rPr>
          <w:rFonts w:cs="Times New Roman" w:ascii="Times New Roman" w:hAnsi="Times New Roman"/>
          <w:sz w:val="24"/>
        </w:rPr>
        <w:t xml:space="preserve">  Presumably, the users of the locally constrained interface are extracting value from such use; however, the costs associated with managing the congested resource are socialized.  CPS does not believe that this is a proper long-term solution in ERCOT.   While the costs of managing local congestion may not be as high or persistent as CSC congestion, the uplift of such costs, as opposed to direct assignment, serves to create improper price signals and a competitive advantage for certain market participants.  Dr. William Hogan accurately frames the issue with the following statements:</w:t>
      </w:r>
      <w:r>
        <w:rPr>
          <w:rStyle w:val="FootnoteCharacters"/>
          <w:rStyle w:val="FootnoteReference"/>
          <w:rFonts w:cs="Times New Roman" w:ascii="Times New Roman" w:hAnsi="Times New Roman"/>
          <w:sz w:val="24"/>
        </w:rPr>
        <w:footnoteReference w:id="4"/>
      </w:r>
    </w:p>
    <w:p>
      <w:pPr>
        <w:pStyle w:val="Response"/>
        <w:rPr>
          <w:rFonts w:ascii="Times New Roman" w:hAnsi="Times New Roman" w:cs="Times New Roman"/>
          <w:sz w:val="24"/>
        </w:rPr>
      </w:pPr>
      <w:r>
        <w:rPr>
          <w:rFonts w:cs="Times New Roman" w:ascii="Times New Roman" w:hAnsi="Times New Roman"/>
          <w:sz w:val="24"/>
        </w:rPr>
      </w:r>
    </w:p>
    <w:p>
      <w:pPr>
        <w:pStyle w:val="Normal"/>
        <w:ind w:start="720" w:end="720"/>
        <w:jc w:val="both"/>
        <w:rPr>
          <w:rFonts w:ascii="Times New Roman" w:hAnsi="Times New Roman" w:cs="Times New Roman"/>
          <w:sz w:val="24"/>
        </w:rPr>
      </w:pPr>
      <w:r>
        <w:rPr>
          <w:rFonts w:cs="Times New Roman" w:ascii="Times New Roman" w:hAnsi="Times New Roman"/>
          <w:sz w:val="24"/>
        </w:rPr>
        <w:t>The important issue is not the total cost of transmission congestion, which may be small on average if the system is used efficiently, and when the cost is often mistakenly dismissed as irrelevant.  Rather, the point is the incentives at the margin when the system is constrained.  In designing the rules for transmission access and pricing for a competitive market, it matters little how the rules perform when the system is unconstrained.  The important question is how the rules deal with the market and participant choices when the system is constrained.</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CPS proposes that efforts should be initiated to develop an alternative pricing mechanism that will allocate the capacity of the constrained local resource to those users that value it the greatest, as opposed to allocating the capacity to any user that desires its use with the rest of the market picking up the tab.  CPS is not advocating the abandonment of the zonal model; rather, CPS is proposing that a method be developed within the context of the zonal model that will allow for the assignment of costs associated with local congestion in the presence of a market solution based upon the principles of cost causation rather than socialization.  CPS does not believe that this is an issue for June 1, 2001 implementation; however, proper price signals are best implemented in the market sooner rather than later.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With respect to the local congestion situation where no market solution exists, CPS also has concerns.  In the circumstance of local congestion with no market solution (and assume no RMR unit), ERCOT will resort to the Out of Merit (OOM) procedures.  CPS believes that the OOM payments prescribed in the Protocols, particularly with respect to OOME Down, are too generous and will encourage gaming.  </w:t>
      </w:r>
    </w:p>
    <w:p>
      <w:pPr>
        <w:pStyle w:val="Response"/>
        <w:rPr>
          <w:rFonts w:ascii="Times New Roman" w:hAnsi="Times New Roman" w:cs="Times New Roman"/>
          <w:sz w:val="24"/>
        </w:rPr>
      </w:pPr>
      <w:r>
        <w:rPr>
          <w:rFonts w:cs="Times New Roman" w:ascii="Times New Roman" w:hAnsi="Times New Roman"/>
          <w:sz w:val="24"/>
        </w:rPr>
      </w:r>
    </w:p>
    <w:p>
      <w:pPr>
        <w:pStyle w:val="Response"/>
        <w:rPr/>
      </w:pPr>
      <w:r>
        <w:rPr>
          <w:rFonts w:cs="Times New Roman" w:ascii="Times New Roman" w:hAnsi="Times New Roman"/>
          <w:sz w:val="24"/>
        </w:rPr>
        <w:t>As observed in the paper that was distributed at the Commission Technical Conference in this proceeding on January 19, 2001,</w:t>
      </w:r>
      <w:r>
        <w:rPr>
          <w:rStyle w:val="FootnoteCharacters"/>
          <w:rStyle w:val="FootnoteReference"/>
          <w:rFonts w:cs="Times New Roman" w:ascii="Times New Roman" w:hAnsi="Times New Roman"/>
          <w:sz w:val="24"/>
        </w:rPr>
        <w:footnoteReference w:id="5"/>
      </w:r>
      <w:r>
        <w:rPr>
          <w:rFonts w:cs="Times New Roman" w:ascii="Times New Roman" w:hAnsi="Times New Roman"/>
          <w:sz w:val="24"/>
        </w:rPr>
        <w:t xml:space="preserve"> under the current Protocols, QSEs subject to OOME down receive energy for free from the balancing market, with other market participants bearing the cost.  CPS believes that creates an improper incentive in the market, and at a minimum, is an inappropriate transfer of money to market participants subject to the OOME Down instruction.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CPS believes that a more appropriate way to address the OOME Down payment may be to expose QSEs subject to OOME Down instructions to the zonal balancing energy price, the same as zonal decremental instructions.  However, in the case of OOME Down, the QSE should have the opportunity to demonstrate to ERCOT that its cost of compliance with the instruction was not properly compensated through the zonal balancing market (i.e., the zonal MCPE minus the marginal production cost of the unit responding to the instruction is greater than zero) and receive compensation for the difference.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Alternatively, to potentially reduce the administrative burden that may be created by the first approach, the QSE subject to OOME down could be required to pay a gas price index times a specified heat rate, similar to the OOME Up payments (as opposed to the zonal MCPE, as would be required in the first alternative).  In the case of OOME Down, the heat rate could be set at a lower number than for OOME Up, such as 10,000 Btu/kWh.  Implementation of this alternative would require compensation to the QSE equal to the zonal MCPE minus the gas price index times the specified heat rate (i.e., the OOME Down unit would be subject to the imbalance market at the zonal MCPE, but would be recompensated the difference between the zonal MCPE and the gas price index times the specified heat rate).  This alternative may lessen the administrative requirements of cost review by ERCOT; however, even under this approach, the QSE should still have the opportunity to demonstrate to ERCOT that its cost of compliance with the instruction was not properly compensated through the formula rate.</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Regarding the OOME Up payment structure, CPS observes that the gas price index times the 18,000 heat rate was designed to serve a legitimate purpose in the market and to avoid the administrative burden of ERCOT cost review.  However, such a generous payment structure also invites the opportunity for gaming.  While the OOMC payments for capacity are subject to a ratchet mechanism designed to prevent abuse, OOME Up is not subject to the same protections.  At a minimum, CPS believes that it is appropriate to extend the ratchet mechanisms to the OOME Up</w:t>
      </w:r>
    </w:p>
    <w:p>
      <w:pPr>
        <w:pStyle w:val="Response"/>
        <w:rPr>
          <w:rFonts w:ascii="Times New Roman" w:hAnsi="Times New Roman" w:cs="Times New Roman"/>
          <w:sz w:val="24"/>
        </w:rPr>
      </w:pPr>
      <w:r>
        <w:rPr>
          <w:rFonts w:cs="Times New Roman" w:ascii="Times New Roman" w:hAnsi="Times New Roman"/>
          <w:sz w:val="24"/>
        </w:rPr>
        <w:t>.</w:t>
      </w:r>
    </w:p>
    <w:p>
      <w:pPr>
        <w:pStyle w:val="Response"/>
        <w:rPr>
          <w:rFonts w:ascii="Times New Roman" w:hAnsi="Times New Roman" w:cs="Times New Roman"/>
          <w:sz w:val="24"/>
        </w:rPr>
      </w:pPr>
      <w:r>
        <w:rPr>
          <w:rFonts w:cs="Times New Roman" w:ascii="Times New Roman" w:hAnsi="Times New Roman"/>
          <w:sz w:val="24"/>
        </w:rPr>
        <w:t>, such that eventually the OOME Up payment structure is just equal to the zonal MCPE.  QSEs will still have the opportunity to demonstrate to ERCOT that their actual cost of compliance was higher.  Finally, regardless of the existence of ratchets, the deployment of OOME Up should be subject to close scrutiny by the Commission in its market oversight role to detect abuse of this potentially generous pricing mechanism.</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With respect to implementation of these proposed changes, CPS does not believe that they are critical for June 1, 2001; however, a process should be initiated to address these issues for implementation by January 1, 2002.</w:t>
      </w:r>
    </w:p>
    <w:p>
      <w:pPr>
        <w:pStyle w:val="Response"/>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ISSUE:  PUC 3</w:t>
        <w:tab/>
      </w:r>
    </w:p>
    <w:p>
      <w:pPr>
        <w:pStyle w:val="Normal"/>
        <w:rPr>
          <w:rFonts w:ascii="Times New Roman" w:hAnsi="Times New Roman" w:cs="Times New Roman"/>
          <w:b/>
          <w:sz w:val="24"/>
        </w:rPr>
      </w:pPr>
      <w:r>
        <w:rPr>
          <w:rFonts w:cs="Times New Roman" w:ascii="Times New Roman" w:hAnsi="Times New Roman"/>
          <w:b/>
          <w:sz w:val="24"/>
        </w:rPr>
        <w:t>What self-implementing mechanisms should be added to the Protocols to avoid extreme price spikes?</w:t>
        <w:tab/>
      </w:r>
    </w:p>
    <w:p>
      <w:pPr>
        <w:pStyle w:val="Response"/>
        <w:rPr>
          <w:rFonts w:ascii="Times New Roman" w:hAnsi="Times New Roman" w:cs="Times New Roman"/>
          <w:b/>
          <w:sz w:val="24"/>
        </w:rPr>
      </w:pPr>
      <w:r>
        <w:rPr>
          <w:rFonts w:cs="Times New Roman" w:ascii="Times New Roman" w:hAnsi="Times New Roman"/>
          <w:b/>
          <w:sz w:val="24"/>
        </w:rPr>
      </w:r>
    </w:p>
    <w:p>
      <w:pPr>
        <w:pStyle w:val="Response"/>
        <w:rPr>
          <w:rFonts w:ascii="Times New Roman" w:hAnsi="Times New Roman" w:cs="Times New Roman"/>
          <w:sz w:val="24"/>
        </w:rPr>
      </w:pPr>
      <w:r>
        <w:rPr>
          <w:rFonts w:cs="Times New Roman" w:ascii="Times New Roman" w:hAnsi="Times New Roman"/>
          <w:sz w:val="24"/>
        </w:rPr>
        <w:t xml:space="preserve">Based upon the Commission’s removal of the qualification “if any” from this issue as originally drafted and proposed by the Commission Staff, it is the understanding of CPS that the Commission has already concluded, as a matter of policy, that such mechanisms should and will be added to the Protocols.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As the Commission considers alternatives related to this issue, CPS believes that it is important to bear in mind that price fluctuations—some of which may be characterized as “extreme”—are an expected and necessary component of competitive markets, and that great caution should be applied in the application of mechanisms that would serve to dampen or eliminate the price signals that are created by the normal interactions of market supply and demand.  However, CPS does recognize that the market mechanisms being created are new and untested in ERCOT, which could lead to results at times that are not indicative of the “normal” supply/demand interaction.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Regarding self-implementing mechanisms, CPS does not support the imposition of hard or soft price caps that are tied to a predetermined price level.  However, CPS does believe that there may be alternative self-implementing mechanisms useful in mitigating the impact of outlier bids on the market as a whole.</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One such mechanism, which was reflected in the ERCOT Protocols as approved by the ERCOT Retail User’s Group (RUG) and the ERCOT Technical Advisory Committee (TAC), but which was mysteriously removed, would have limited the deployment of energy from the balancing energy (BE) stack at 95% of the total MW in the BE stack.  In other words, the BE stack would be truncated at 95% of the total MW, such that the highest 5% bids (in MW) were removed from consideration and unavailable for use by ERCOT.</w:t>
      </w:r>
      <w:r>
        <w:rPr>
          <w:rStyle w:val="FootnoteCharacters"/>
          <w:rStyle w:val="FootnoteReference"/>
          <w:rFonts w:cs="Times New Roman" w:ascii="Times New Roman" w:hAnsi="Times New Roman"/>
          <w:sz w:val="24"/>
        </w:rPr>
        <w:footnoteReference w:id="6"/>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An alternative (but similar) mechanism may also be worthy of consideration.  Instead of truncating the BE stack at a specific MW threshold (e.g., 95%, or another threshold as determined appropriate), the payment mechanism could be adjusted such that an MCPE is applied for all bids at or below the threshold, and bids above the threshold are paid-as-bid.  This alternative has the benefits of (1) maintaining the availability of energy for use by ERCOT for bids that are greater than the threshold; (2) mitigating the impact of outlier bids on the MCPE, and (3) ensuring payment to providers for services rendered, while at the same time providing increased visibility and accountability for bids above the threshold.  However, one downside to this approach relates to its complexity, in that multiple resource prices are introduced when the balancing energy requirements exceed the threshold, which may create some difficulty in integrating this approach into a system design that revolves around the existence of a single price for balancing energy in each zone for each settlement interval.</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With respect to implementation, CPS believes that it is feasible to implement the first alternative prior to June 1, 2001.  However, as stated previously, implementation of the second alternative is more complex, and would require thorough stakeholder and ERCOT analysis of its suitability, feasibility and compatibility with the current system design prior to moving forward with any implementation efforts.</w:t>
      </w:r>
    </w:p>
    <w:p>
      <w:pPr>
        <w:pStyle w:val="Response"/>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ISSUE:  PUC 4</w:t>
        <w:tab/>
      </w:r>
    </w:p>
    <w:p>
      <w:pPr>
        <w:pStyle w:val="Normal"/>
        <w:rPr>
          <w:rFonts w:ascii="Times New Roman" w:hAnsi="Times New Roman" w:cs="Times New Roman"/>
          <w:b/>
          <w:sz w:val="24"/>
        </w:rPr>
      </w:pPr>
      <w:r>
        <w:rPr>
          <w:rFonts w:cs="Times New Roman" w:ascii="Times New Roman" w:hAnsi="Times New Roman"/>
          <w:b/>
          <w:sz w:val="24"/>
        </w:rPr>
        <w:t>Should ERCOT pay for Ancillary Services using the pay as bid (PAB) method rather than the market clearing price (MCP) method?</w:t>
        <w:tab/>
      </w:r>
    </w:p>
    <w:p>
      <w:pPr>
        <w:pStyle w:val="Response"/>
        <w:rPr>
          <w:rFonts w:ascii="Times New Roman" w:hAnsi="Times New Roman" w:cs="Times New Roman"/>
          <w:b/>
          <w:sz w:val="24"/>
        </w:rPr>
      </w:pPr>
      <w:r>
        <w:rPr>
          <w:rFonts w:cs="Times New Roman" w:ascii="Times New Roman" w:hAnsi="Times New Roman"/>
          <w:b/>
          <w:sz w:val="24"/>
        </w:rPr>
      </w:r>
    </w:p>
    <w:p>
      <w:pPr>
        <w:pStyle w:val="Response"/>
        <w:rPr/>
      </w:pPr>
      <w:r>
        <w:rPr>
          <w:rFonts w:cs="Times New Roman" w:ascii="Times New Roman" w:hAnsi="Times New Roman"/>
          <w:sz w:val="24"/>
        </w:rPr>
        <w:t>CPS assumes that in reference to ancillary services, the Commission is referring to day-ahead capacity as well as balancing energy.  In either case, CPS believes the answer to this question is “no.”</w:t>
      </w:r>
      <w:r>
        <w:rPr>
          <w:rStyle w:val="FootnoteCharacters"/>
          <w:rStyle w:val="FootnoteReference"/>
          <w:rFonts w:cs="Times New Roman" w:ascii="Times New Roman" w:hAnsi="Times New Roman"/>
          <w:sz w:val="24"/>
        </w:rPr>
        <w:footnoteReference w:id="7"/>
      </w:r>
      <w:r>
        <w:rPr>
          <w:rFonts w:cs="Times New Roman" w:ascii="Times New Roman" w:hAnsi="Times New Roman"/>
          <w:sz w:val="24"/>
        </w:rPr>
        <w:t xml:space="preserve">  While it is unclear precisely what goal it is thought that the application of PAB would achieve, CPS assumes that the thought is that using PAB will reduce total ancillary service procurement costs for ERCOT.  CPS submits that this result will not occur, and that wholesale application of PAB may actually be detrimental to the market.</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Dr. Steven Stoft addresses the issue of PAB, among other issues, in relation to recent FERC Orders applicable to the California power market.  Dr. Stoft states:</w:t>
      </w:r>
      <w:r>
        <w:rPr>
          <w:rStyle w:val="FootnoteCharacters"/>
          <w:rStyle w:val="FootnoteReference"/>
          <w:rFonts w:cs="Times New Roman" w:ascii="Times New Roman" w:hAnsi="Times New Roman"/>
          <w:sz w:val="24"/>
        </w:rPr>
        <w:footnoteReference w:id="8"/>
      </w:r>
    </w:p>
    <w:p>
      <w:pPr>
        <w:pStyle w:val="Response"/>
        <w:rPr>
          <w:rFonts w:ascii="Times New Roman" w:hAnsi="Times New Roman" w:cs="Times New Roman"/>
          <w:sz w:val="24"/>
        </w:rPr>
      </w:pPr>
      <w:r>
        <w:rPr>
          <w:rFonts w:cs="Times New Roman" w:ascii="Times New Roman" w:hAnsi="Times New Roman"/>
          <w:sz w:val="24"/>
        </w:rPr>
      </w:r>
    </w:p>
    <w:p>
      <w:pPr>
        <w:pStyle w:val="Normal"/>
        <w:ind w:start="720" w:end="720"/>
        <w:jc w:val="both"/>
        <w:rPr/>
      </w:pPr>
      <w:r>
        <w:rPr>
          <w:rFonts w:cs="Times New Roman" w:ascii="Times New Roman" w:hAnsi="Times New Roman"/>
          <w:b/>
          <w:sz w:val="24"/>
        </w:rPr>
        <w:t>Pay-As-Bid Auctions.</w:t>
      </w:r>
      <w:r>
        <w:rPr>
          <w:rFonts w:cs="Times New Roman" w:ascii="Times New Roman" w:hAnsi="Times New Roman"/>
          <w:sz w:val="24"/>
        </w:rPr>
        <w:t xml:space="preserve">  The [FERC] Order reaches the following conclusion about the current single-price auction in order to support a partial pay-as-bid system.</w:t>
      </w:r>
    </w:p>
    <w:p>
      <w:pPr>
        <w:pStyle w:val="Normal"/>
        <w:ind w:start="720" w:end="720"/>
        <w:jc w:val="both"/>
        <w:rPr>
          <w:rFonts w:ascii="Times New Roman" w:hAnsi="Times New Roman" w:cs="Times New Roman"/>
          <w:b/>
          <w:sz w:val="24"/>
        </w:rPr>
      </w:pPr>
      <w:r>
        <w:rPr>
          <w:rFonts w:cs="Times New Roman" w:ascii="Times New Roman" w:hAnsi="Times New Roman"/>
          <w:b/>
          <w:sz w:val="24"/>
        </w:rPr>
      </w:r>
    </w:p>
    <w:p>
      <w:pPr>
        <w:pStyle w:val="BlockText"/>
        <w:ind w:end="1440"/>
        <w:rPr>
          <w:rFonts w:ascii="Times New Roman" w:hAnsi="Times New Roman" w:cs="Times New Roman"/>
          <w:sz w:val="24"/>
        </w:rPr>
      </w:pPr>
      <w:r>
        <w:rPr>
          <w:rFonts w:cs="Times New Roman" w:ascii="Times New Roman" w:hAnsi="Times New Roman"/>
          <w:sz w:val="24"/>
        </w:rPr>
        <w:t>A significant factor causing high prices in California was the fact that every MW in the market is priced at the market clearing price (Order at 34.)</w:t>
      </w:r>
    </w:p>
    <w:p>
      <w:pPr>
        <w:pStyle w:val="Normal"/>
        <w:ind w:start="720" w:end="720"/>
        <w:jc w:val="both"/>
        <w:rPr>
          <w:rFonts w:ascii="Times New Roman" w:hAnsi="Times New Roman" w:cs="Times New Roman"/>
          <w:sz w:val="24"/>
        </w:rPr>
      </w:pPr>
      <w:r>
        <w:rPr>
          <w:rFonts w:cs="Times New Roman" w:ascii="Times New Roman" w:hAnsi="Times New Roman"/>
          <w:sz w:val="24"/>
        </w:rPr>
      </w:r>
    </w:p>
    <w:p>
      <w:pPr>
        <w:pStyle w:val="Normal"/>
        <w:ind w:start="720" w:end="720"/>
        <w:jc w:val="both"/>
        <w:rPr>
          <w:rFonts w:ascii="Times New Roman" w:hAnsi="Times New Roman" w:cs="Times New Roman"/>
          <w:sz w:val="24"/>
        </w:rPr>
      </w:pPr>
      <w:r>
        <w:rPr>
          <w:rFonts w:cs="Times New Roman" w:ascii="Times New Roman" w:hAnsi="Times New Roman"/>
          <w:sz w:val="24"/>
        </w:rPr>
        <w:t>Normally, this is how competitive markets work.  All trade takes place at, or very close to, the clearing price, with some errors in both directions.  One surprising result from auction theory is that an auction for a single commodity will have exactly the same cost on average whether bidders are paid their bids or paid the highest losing bid.  Klemperer calls this “auction theory’s most celebrated theorem.”  The “revenue equivalence theorem” is much broader than the special case just stated and undoubtedly applies quite accurately to the pay-as-bid and single price auctions under consideration.</w:t>
      </w:r>
    </w:p>
    <w:p>
      <w:pPr>
        <w:pStyle w:val="Normal"/>
        <w:ind w:start="720" w:end="720"/>
        <w:jc w:val="both"/>
        <w:rPr>
          <w:rFonts w:ascii="Times New Roman" w:hAnsi="Times New Roman" w:cs="Times New Roman"/>
          <w:sz w:val="24"/>
        </w:rPr>
      </w:pPr>
      <w:r>
        <w:rPr>
          <w:rFonts w:cs="Times New Roman" w:ascii="Times New Roman" w:hAnsi="Times New Roman"/>
          <w:sz w:val="24"/>
        </w:rPr>
      </w:r>
    </w:p>
    <w:p>
      <w:pPr>
        <w:pStyle w:val="Normal"/>
        <w:ind w:start="720" w:end="720"/>
        <w:jc w:val="both"/>
        <w:rPr>
          <w:rFonts w:ascii="Times New Roman" w:hAnsi="Times New Roman" w:cs="Times New Roman"/>
          <w:sz w:val="24"/>
        </w:rPr>
      </w:pPr>
      <w:r>
        <w:rPr>
          <w:rFonts w:cs="Times New Roman" w:ascii="Times New Roman" w:hAnsi="Times New Roman"/>
          <w:sz w:val="24"/>
        </w:rPr>
        <w:t>The Commission’s central concern deserves attention, “why should a supplier who bid a lower figure receive the same value as that afforded to the supplier of the higher priced increment?”  Low bidders should be paid the market clearing price so they will continue to submit bids that reflect their true marginal costs.  If they are penalized for bidding true costs, they will immediately begin submitting bids very close to the market clearing price.  This observation is at the heart of the revenue equivalence theorem and is recognized by the FERC staff, which correctly concludes, “In sum, it is not clear whether a pay-as-bid rule would have the effect of lowering consumers’ bills.”  (Staff Report at 5-16.)</w:t>
      </w:r>
    </w:p>
    <w:p>
      <w:pPr>
        <w:pStyle w:val="Normal"/>
        <w:ind w:start="720" w:end="720"/>
        <w:jc w:val="both"/>
        <w:rPr>
          <w:rFonts w:ascii="Times New Roman" w:hAnsi="Times New Roman" w:cs="Times New Roman"/>
          <w:sz w:val="24"/>
        </w:rPr>
      </w:pPr>
      <w:r>
        <w:rPr>
          <w:rFonts w:cs="Times New Roman" w:ascii="Times New Roman" w:hAnsi="Times New Roman"/>
          <w:sz w:val="24"/>
        </w:rPr>
      </w:r>
    </w:p>
    <w:p>
      <w:pPr>
        <w:pStyle w:val="Normal"/>
        <w:ind w:start="720" w:end="720"/>
        <w:jc w:val="both"/>
        <w:rPr>
          <w:rFonts w:ascii="Times New Roman" w:hAnsi="Times New Roman" w:cs="Times New Roman"/>
          <w:sz w:val="24"/>
        </w:rPr>
      </w:pPr>
      <w:r>
        <w:rPr>
          <w:rFonts w:cs="Times New Roman" w:ascii="Times New Roman" w:hAnsi="Times New Roman"/>
          <w:sz w:val="24"/>
        </w:rPr>
        <w:t>Pay-as-bid auctions force suppliers to guess the clearing price.  When suppliers do not know the market clearing price and are forced to guess rather than bid their own costs (which they know well) they make mistakes in bidding.  The result is the auction selects the wrong suppliers, and the cost of power is increased.  This, too, is predicted by auction theory.</w:t>
      </w:r>
    </w:p>
    <w:p>
      <w:pPr>
        <w:pStyle w:val="Normal"/>
        <w:ind w:start="720" w:end="720"/>
        <w:jc w:val="both"/>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Interestingly, Stoft also states:</w:t>
      </w:r>
      <w:r>
        <w:rPr>
          <w:rStyle w:val="FootnoteCharacters"/>
          <w:rStyle w:val="FootnoteReference"/>
          <w:rFonts w:cs="Times New Roman" w:ascii="Times New Roman" w:hAnsi="Times New Roman"/>
          <w:sz w:val="24"/>
        </w:rPr>
        <w:footnoteReference w:id="9"/>
      </w:r>
    </w:p>
    <w:p>
      <w:pPr>
        <w:pStyle w:val="Normal"/>
        <w:ind w:start="720" w:end="720"/>
        <w:jc w:val="both"/>
        <w:rPr>
          <w:rFonts w:ascii="Times New Roman" w:hAnsi="Times New Roman" w:cs="Times New Roman"/>
          <w:sz w:val="24"/>
        </w:rPr>
      </w:pPr>
      <w:r>
        <w:rPr>
          <w:rFonts w:cs="Times New Roman" w:ascii="Times New Roman" w:hAnsi="Times New Roman"/>
          <w:sz w:val="24"/>
        </w:rPr>
      </w:r>
    </w:p>
    <w:p>
      <w:pPr>
        <w:pStyle w:val="BodyTextIndent"/>
        <w:ind w:end="720"/>
        <w:rPr>
          <w:rFonts w:ascii="Times New Roman" w:hAnsi="Times New Roman" w:cs="Times New Roman"/>
          <w:sz w:val="24"/>
        </w:rPr>
      </w:pPr>
      <w:r>
        <w:rPr>
          <w:rFonts w:cs="Times New Roman" w:ascii="Times New Roman" w:hAnsi="Times New Roman"/>
          <w:sz w:val="24"/>
        </w:rPr>
        <w:t>Auction theory says pay-as-bid should not lower costs.  All the economists I have asked from Oren to Hogan agree with this.  FERC approves of PJM and the NYISO which both use single-price.  Even FERC does not seem to believe its own claim that pay-as-bid will work, because they insist on reviewing every bid to see if it is too high. This makes it a bid-as-told auction.</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CPS agrees with the assessment of Dr. Stoft, and therefore does not support the wholesale application of pay-as-bid.</w:t>
      </w:r>
    </w:p>
    <w:p>
      <w:pPr>
        <w:pStyle w:val="Response"/>
        <w:rPr>
          <w:rFonts w:ascii="Times New Roman" w:hAnsi="Times New Roman" w:cs="Times New Roman"/>
          <w:sz w:val="24"/>
        </w:rPr>
      </w:pPr>
      <w:r>
        <w:rPr>
          <w:rFonts w:cs="Times New Roman" w:ascii="Times New Roman" w:hAnsi="Times New Roman"/>
          <w:sz w:val="24"/>
        </w:rPr>
      </w:r>
    </w:p>
    <w:p>
      <w:pPr>
        <w:pStyle w:val="Question"/>
        <w:rPr>
          <w:rFonts w:ascii="Times New Roman" w:hAnsi="Times New Roman" w:cs="Times New Roman"/>
          <w:sz w:val="24"/>
        </w:rPr>
      </w:pPr>
      <w:r>
        <w:rPr>
          <w:rFonts w:cs="Times New Roman" w:ascii="Times New Roman" w:hAnsi="Times New Roman"/>
          <w:sz w:val="24"/>
        </w:rPr>
        <w:t>ISSUE:  PUC 5</w:t>
        <w:tab/>
      </w:r>
    </w:p>
    <w:p>
      <w:pPr>
        <w:pStyle w:val="Question"/>
        <w:rPr>
          <w:rFonts w:ascii="Times New Roman" w:hAnsi="Times New Roman" w:cs="Times New Roman"/>
          <w:sz w:val="24"/>
        </w:rPr>
      </w:pPr>
      <w:r>
        <w:rPr>
          <w:rFonts w:cs="Times New Roman" w:ascii="Times New Roman" w:hAnsi="Times New Roman"/>
          <w:sz w:val="24"/>
        </w:rPr>
        <w:t>Should ERCOT be given the responsibility to plan and schedule Transmission Facility Outages, in order to optimize use of the ERCOT transmission grid?</w:t>
        <w:tab/>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No.  While the Protocols do substantially increase the role of ERCOT in the coordination and approval of transmission facility outages, CPS believes that it would be a monumental and unwise undertaking for ERCOT to take on the entire responsibility for planning and scheduling transmission facility outages for the ERCOT transmission grid.</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Transmission outage planning requires the expertise of field personnel that are familiar with local facilities and are responsible for the inspection and monitoring of those facilities on a day-to-day basis.  Based upon recommendations from these personnel, regional transmission owners can develop proposed outage schedules consistent with good utility practice that, as stated previously, will be conveyed to ERCOT for approval.  Presumably, upon consideration of factors such as grid optimization, safety and reliability, among others, ERCOT will approve or reject outage requests submitted by ERCOT transmission owners.</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For these reasons, CPS supports the transmission outage procedures as reflected in the Protocols.   </w:t>
      </w:r>
    </w:p>
    <w:p>
      <w:pPr>
        <w:pStyle w:val="Response"/>
        <w:rPr>
          <w:rFonts w:ascii="Times New Roman" w:hAnsi="Times New Roman" w:cs="Times New Roman"/>
          <w:sz w:val="24"/>
        </w:rPr>
      </w:pPr>
      <w:r>
        <w:rPr>
          <w:rFonts w:cs="Times New Roman" w:ascii="Times New Roman" w:hAnsi="Times New Roman"/>
          <w:sz w:val="24"/>
        </w:rPr>
        <w:tab/>
        <w:tab/>
        <w:tab/>
      </w:r>
    </w:p>
    <w:p>
      <w:pPr>
        <w:pStyle w:val="Question"/>
        <w:rPr>
          <w:rFonts w:ascii="Times New Roman" w:hAnsi="Times New Roman" w:cs="Times New Roman"/>
          <w:sz w:val="24"/>
        </w:rPr>
      </w:pPr>
      <w:r>
        <w:rPr>
          <w:rFonts w:cs="Times New Roman" w:ascii="Times New Roman" w:hAnsi="Times New Roman"/>
          <w:sz w:val="24"/>
        </w:rPr>
        <w:t>ISSUE:  PUC 6</w:t>
        <w:tab/>
      </w:r>
    </w:p>
    <w:p>
      <w:pPr>
        <w:pStyle w:val="Question"/>
        <w:rPr>
          <w:rFonts w:ascii="Times New Roman" w:hAnsi="Times New Roman" w:cs="Times New Roman"/>
          <w:sz w:val="24"/>
        </w:rPr>
      </w:pPr>
      <w:r>
        <w:rPr>
          <w:rFonts w:cs="Times New Roman" w:ascii="Times New Roman" w:hAnsi="Times New Roman"/>
          <w:sz w:val="24"/>
        </w:rPr>
        <w:t>Should ERCOT deploy Reliability Must Run (RMR) Units to provide Ancillary Services if doing so would be less costly than market Solutions, instead of first relying on Market Solutions as required by Protocols Section 6.7.8(1) (page 6-33)?</w:t>
        <w:tab/>
        <w:tab/>
      </w:r>
    </w:p>
    <w:p>
      <w:pPr>
        <w:pStyle w:val="Response"/>
        <w:rPr>
          <w:rFonts w:ascii="Times New Roman" w:hAnsi="Times New Roman" w:cs="Times New Roman"/>
          <w:sz w:val="24"/>
        </w:rPr>
      </w:pPr>
      <w:r>
        <w:rPr>
          <w:rFonts w:cs="Times New Roman" w:ascii="Times New Roman" w:hAnsi="Times New Roman"/>
          <w:sz w:val="24"/>
        </w:rPr>
        <w:tab/>
      </w:r>
    </w:p>
    <w:p>
      <w:pPr>
        <w:pStyle w:val="Response"/>
        <w:rPr>
          <w:rFonts w:ascii="Times New Roman" w:hAnsi="Times New Roman" w:cs="Times New Roman"/>
          <w:sz w:val="24"/>
        </w:rPr>
      </w:pPr>
      <w:r>
        <w:rPr>
          <w:rFonts w:cs="Times New Roman" w:ascii="Times New Roman" w:hAnsi="Times New Roman"/>
          <w:sz w:val="24"/>
        </w:rPr>
        <w:t xml:space="preserve">It is not entirely clear whether this question is referring to capacity or energy markets.  However, because of the use of the word “deployed,” CPS assumes that the question is intended to address the balancing energy market.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Given this understanding, CPS is not opposed to the suggestion that the RMR unit be allowed to enter the balancing energy stack.  In fact, Section 6.8.3.7 of the Protocols allows for such participation, with the caveat that RMR unit will receive a price equal to 90% of the MCPE for such participation, with 10% of the revenue returned to ERCOT.  This rebate is imposed in light of the fact that RMR units will have been compensated for capacity costs via the terms of the RMR agreement.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CPS supports the manner in which this issue is currently addressed in the Protocols.</w:t>
      </w:r>
    </w:p>
    <w:p>
      <w:pPr>
        <w:pStyle w:val="Normal"/>
        <w:rPr>
          <w:rFonts w:ascii="Times New Roman" w:hAnsi="Times New Roman" w:cs="Times New Roman"/>
          <w:sz w:val="24"/>
        </w:rPr>
      </w:pPr>
      <w:r>
        <w:rPr>
          <w:rFonts w:cs="Times New Roman" w:ascii="Times New Roman" w:hAnsi="Times New Roman"/>
          <w:sz w:val="24"/>
        </w:rPr>
        <w:tab/>
      </w:r>
    </w:p>
    <w:p>
      <w:pPr>
        <w:pStyle w:val="Question"/>
        <w:rPr>
          <w:rFonts w:ascii="Times New Roman" w:hAnsi="Times New Roman" w:cs="Times New Roman"/>
          <w:sz w:val="24"/>
        </w:rPr>
      </w:pPr>
      <w:r>
        <w:rPr>
          <w:rFonts w:cs="Times New Roman" w:ascii="Times New Roman" w:hAnsi="Times New Roman"/>
          <w:sz w:val="24"/>
        </w:rPr>
        <w:t>ISSUE:  PUC 7</w:t>
        <w:tab/>
      </w:r>
    </w:p>
    <w:p>
      <w:pPr>
        <w:pStyle w:val="Question"/>
        <w:rPr>
          <w:rFonts w:ascii="Times New Roman" w:hAnsi="Times New Roman" w:cs="Times New Roman"/>
          <w:sz w:val="24"/>
        </w:rPr>
      </w:pPr>
      <w:r>
        <w:rPr>
          <w:rFonts w:cs="Times New Roman" w:ascii="Times New Roman" w:hAnsi="Times New Roman"/>
          <w:sz w:val="24"/>
        </w:rPr>
        <w:t>As a technical matter, specifically to what extent can the various types of Ancillary Services defined in the Protocols be substituted for one another? Should ERCOT substitute certain types of Ancillary Services for others in circumstances where doing so will minimize its procurement costs?</w:t>
        <w:tab/>
        <w:tab/>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CPS has no comments at this time regarding the technical limitations associated with ancillary service substitution.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However, as an economic matter, it is our understanding that the Commission’s consultant, Dr. Oren, was not in favor of implementing a method by which pure short-term procurement cost minimization was the objective.  This approach forms the basis for the “rational buyer” algorithm in California, which Dr. Oren did not recommend be implemented in ERCOT.  However, Dr. Oren did express a preference for the “New York approach,” whereby ancillary service markets are cleared sequentially, but when lower-quality services clear at a higher price than higher-quality services, the higher price of the lower quality services is applied to the higher quality procurement.</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Through the stakeholder process that followed the PUCT workshop, a decision was made to maintain the current sequential selection and pricing procedures, but to maintain the ability in the ERCOT systems to implement a method such as the “New York approach.”  CPS is unsure whether such flexibility has actually been accommodated in the ERCOT systems.  However, CPS supports the procurement procedures as reflected in the Protocols, with the understanding that analysis of a sufficient amount of actual market data may eventually lead to the implementation of an alternative pricing methodology, such as the “New York approach.”</w:t>
      </w:r>
    </w:p>
    <w:p>
      <w:pPr>
        <w:pStyle w:val="Response"/>
        <w:rPr>
          <w:rFonts w:ascii="Times New Roman" w:hAnsi="Times New Roman" w:cs="Times New Roman"/>
          <w:sz w:val="24"/>
        </w:rPr>
      </w:pPr>
      <w:r>
        <w:rPr>
          <w:rFonts w:cs="Times New Roman" w:ascii="Times New Roman" w:hAnsi="Times New Roman"/>
          <w:sz w:val="24"/>
        </w:rPr>
        <w:tab/>
        <w:tab/>
      </w:r>
    </w:p>
    <w:p>
      <w:pPr>
        <w:pStyle w:val="Question"/>
        <w:rPr>
          <w:rFonts w:ascii="Times New Roman" w:hAnsi="Times New Roman" w:cs="Times New Roman"/>
          <w:sz w:val="24"/>
        </w:rPr>
      </w:pPr>
      <w:r>
        <w:rPr>
          <w:rFonts w:cs="Times New Roman" w:ascii="Times New Roman" w:hAnsi="Times New Roman"/>
          <w:sz w:val="24"/>
        </w:rPr>
        <w:t>ISSUE:  PUC 9</w:t>
        <w:tab/>
      </w:r>
    </w:p>
    <w:p>
      <w:pPr>
        <w:pStyle w:val="Question"/>
        <w:rPr>
          <w:rFonts w:ascii="Times New Roman" w:hAnsi="Times New Roman" w:cs="Times New Roman"/>
          <w:sz w:val="24"/>
        </w:rPr>
      </w:pPr>
      <w:r>
        <w:rPr>
          <w:rFonts w:cs="Times New Roman" w:ascii="Times New Roman" w:hAnsi="Times New Roman"/>
          <w:sz w:val="24"/>
        </w:rPr>
        <w:t>Are the payments for Out of Merit Order service contained in Protocols Section 6.8.2 (pages 6-47 – 6-51) reasonable, specifically the ratcheted payments for capacity starting at 150% of the Replacement Reserve Service Market Clearing Price for Capacity (MCPC) and the 18,000 heat rate for energy?</w:t>
        <w:tab/>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See response to PUC-2.</w:t>
      </w:r>
    </w:p>
    <w:p>
      <w:pPr>
        <w:pStyle w:val="Normal"/>
        <w:rPr>
          <w:rFonts w:ascii="Times New Roman" w:hAnsi="Times New Roman" w:cs="Times New Roman"/>
          <w:sz w:val="24"/>
        </w:rPr>
      </w:pPr>
      <w:r>
        <w:rPr>
          <w:rFonts w:cs="Times New Roman" w:ascii="Times New Roman" w:hAnsi="Times New Roman"/>
          <w:sz w:val="24"/>
        </w:rPr>
        <w:tab/>
      </w:r>
    </w:p>
    <w:p>
      <w:pPr>
        <w:pStyle w:val="Question"/>
        <w:rPr>
          <w:rFonts w:ascii="Times New Roman" w:hAnsi="Times New Roman" w:cs="Times New Roman"/>
          <w:sz w:val="24"/>
        </w:rPr>
      </w:pPr>
      <w:r>
        <w:rPr>
          <w:rFonts w:cs="Times New Roman" w:ascii="Times New Roman" w:hAnsi="Times New Roman"/>
          <w:sz w:val="24"/>
        </w:rPr>
        <w:t>ISSUE:  AES DEEPWATER 1</w:t>
        <w:tab/>
      </w:r>
    </w:p>
    <w:p>
      <w:pPr>
        <w:pStyle w:val="Question"/>
        <w:rPr>
          <w:rFonts w:ascii="Times New Roman" w:hAnsi="Times New Roman" w:cs="Times New Roman"/>
          <w:sz w:val="24"/>
        </w:rPr>
      </w:pPr>
      <w:r>
        <w:rPr>
          <w:rFonts w:cs="Times New Roman" w:ascii="Times New Roman" w:hAnsi="Times New Roman"/>
          <w:sz w:val="24"/>
        </w:rPr>
        <w:t>Do the Protocols need to provide a pricing or scheduling mechanism that allows the QFs in ERCOT to exercise their full range of PURPA rights?</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The continued obligation of electric utilities to purchase the energy of qualifying facilities is arguably inconsistent with the dynamics of a competitive retail marketplace, where competitively priced energy and market choice are the key elements, rather than energy priced and marketed by regulation.  Nevertheless, the obligation to purchase QF energy continues to be a matter of regulation by the Federal Energy Regulatory Commission under 18 CFR Part 292, and that obligation cannot be changed by state regulatory action.  CPS points out that compliance with QF purchase requirements by municipally owned utilities (as well as electric cooperatives) under these federal regulations is NOT subject to oversight by the Public Utility Commission of Texas.  As a "non-regulated utility" under these federal regulations, a municipally owned utility under 18 CFR section 292.302, et seq., the nonregulated municipally owned utility itself determines its avoided cost, assesses interconnection charges to a QF, and otherwise complies directly with these regulations.  Any change in the PUC's regulations affecting those utilities over which it has oversight for QF issues will not affect a municipally owned utility. Thus, to the extent the ERCOT Protocols or PUC rules are modified to address QF PURPA requirements or facilitate the purchase of QF power by market participants, they should not address the pricing or terms and conditions under which an MOU would interact with a QF.</w:t>
      </w:r>
    </w:p>
    <w:p>
      <w:pPr>
        <w:pStyle w:val="Response"/>
        <w:rPr>
          <w:rFonts w:ascii="Times New Roman" w:hAnsi="Times New Roman" w:cs="Times New Roman"/>
          <w:sz w:val="24"/>
        </w:rPr>
      </w:pPr>
      <w:r>
        <w:rPr>
          <w:rFonts w:cs="Times New Roman" w:ascii="Times New Roman" w:hAnsi="Times New Roman"/>
          <w:sz w:val="24"/>
        </w:rPr>
      </w:r>
    </w:p>
    <w:p>
      <w:pPr>
        <w:pStyle w:val="Question"/>
        <w:rPr>
          <w:rFonts w:ascii="Times New Roman" w:hAnsi="Times New Roman" w:cs="Times New Roman"/>
          <w:sz w:val="24"/>
        </w:rPr>
      </w:pPr>
      <w:r>
        <w:rPr>
          <w:rFonts w:cs="Times New Roman" w:ascii="Times New Roman" w:hAnsi="Times New Roman"/>
          <w:sz w:val="24"/>
        </w:rPr>
        <w:t>ISSUE:  CALPINE 1</w:t>
        <w:tab/>
      </w:r>
    </w:p>
    <w:p>
      <w:pPr>
        <w:pStyle w:val="Question"/>
        <w:rPr>
          <w:rFonts w:ascii="Times New Roman" w:hAnsi="Times New Roman" w:cs="Times New Roman"/>
          <w:sz w:val="24"/>
        </w:rPr>
      </w:pPr>
      <w:r>
        <w:rPr>
          <w:rFonts w:cs="Times New Roman" w:ascii="Times New Roman" w:hAnsi="Times New Roman"/>
          <w:sz w:val="24"/>
        </w:rPr>
        <w:t>Should Generators be explicitly compensated for the reactive support voltage control service they provide to the power system?</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CPS supports the limited payment provisions for reactive power support that are currently reflected in the Protocols.  However, CPS does believe that this issue warrants further stakeholder consideration, and would recommend that the issue continue to be addressed to examine whether the existing Protocols are appropriate long-term solutions in ERCOT.</w:t>
      </w:r>
    </w:p>
    <w:p>
      <w:pPr>
        <w:pStyle w:val="Response"/>
        <w:rPr>
          <w:rFonts w:ascii="Times New Roman" w:hAnsi="Times New Roman" w:cs="Times New Roman"/>
          <w:sz w:val="24"/>
        </w:rPr>
      </w:pPr>
      <w:r>
        <w:rPr>
          <w:rFonts w:cs="Times New Roman" w:ascii="Times New Roman" w:hAnsi="Times New Roman"/>
          <w:sz w:val="24"/>
        </w:rPr>
        <w:tab/>
        <w:tab/>
        <w:tab/>
      </w:r>
    </w:p>
    <w:p>
      <w:pPr>
        <w:pStyle w:val="Question"/>
        <w:rPr>
          <w:rFonts w:ascii="Times New Roman" w:hAnsi="Times New Roman" w:cs="Times New Roman"/>
          <w:sz w:val="24"/>
        </w:rPr>
      </w:pPr>
      <w:r>
        <w:rPr>
          <w:rFonts w:cs="Times New Roman" w:ascii="Times New Roman" w:hAnsi="Times New Roman"/>
          <w:sz w:val="24"/>
        </w:rPr>
        <w:t>ISSUE:  CPS 1</w:t>
        <w:tab/>
      </w:r>
    </w:p>
    <w:p>
      <w:pPr>
        <w:pStyle w:val="Question"/>
        <w:rPr>
          <w:rFonts w:ascii="Times New Roman" w:hAnsi="Times New Roman" w:cs="Times New Roman"/>
          <w:sz w:val="24"/>
        </w:rPr>
      </w:pPr>
      <w:r>
        <w:rPr>
          <w:rFonts w:cs="Times New Roman" w:ascii="Times New Roman" w:hAnsi="Times New Roman"/>
          <w:sz w:val="24"/>
        </w:rPr>
        <w:t>Should the settlement interval for the determination of the coincident peak demand for TCOS allocation purposes remain at one hour or change to a 15 minute interval?</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Since the inception of regional ERCOT transmission pricing, the coincident peak demand has been measured in 1-hour intervals.  However, in contrast, the Protocols have defined a 15-minute demand interval for the purpose of measuring the peak demand for TCOS purposes.  Presumably, the 15-minute interval was chosen to be consistent with the settlement interval for ERCOT energy markets.  However, there is no rationale or requirement for maintaining such consistency.  Using a 1-hour demand is just a mathematical process of adding four 15-minute energy intervals together that coincide with the hour of the ERCOT peak.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At the January 5, 2001 technical conference, CPS asked whether any analysis had been performed to justify the departure from existing Commission rules to justify the imposition of a 15-minute interval for TCOS peak demand determinations.  No parties responded other than to state that the interval was consistent with the interval for energy settlement.</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The primary issue that CPS has with respect to the 15-minute demand interval is that the measurement becomes more arbitrary even than the existing 1-hour measurement interval, and due to the nature in which TCOS is allocated, entities are stuck with that value for an entire year.  In addition, CPS disagrees with the premise that summer peak transmission pricing sends the appropriate price signal to market participants for transmission investment.  Effective price signals are founded upon marginal costs.  In ERCOT, the marginal transmission investment is largely associated with the interconnection of new generators and the transport of renewable energy from West Texas to central load centers.  The use of these incremental investments is hardly correlated with the summer peak.  Other new investments are related to critical constraint mitigation, of which the use is more closely correlated with the summer peak.  However, once ERCOT moves to a more reasonable method for the management and assignment of congestion costs, to the extent there is congestion, any price signal associated with TCOS pricing will be overwhelmed by the price signals associated with the price signals in the energy markets.</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While the use of a 15-minute interval could by chance accrue to the benefit of CPS or other market participants, CPS believes that it is an unjustified departure from prior and existing rules that produces more arbitrary results.  For these reasons, CPS requests that the 1-hour interval be maintained.  From a systems design standpoint, no new data is required; however, the output would need to be redefined to capture four intervals of data as opposed to one.  Because these billing determinants would not be required until January 1, 2002, CPS believes that this change can be effectively addressed as a part of the Phase II implementation.</w:t>
      </w:r>
    </w:p>
    <w:p>
      <w:pPr>
        <w:pStyle w:val="Response"/>
        <w:rPr>
          <w:rFonts w:ascii="Times New Roman" w:hAnsi="Times New Roman" w:cs="Times New Roman"/>
          <w:sz w:val="24"/>
        </w:rPr>
      </w:pPr>
      <w:r>
        <w:rPr>
          <w:rFonts w:cs="Times New Roman" w:ascii="Times New Roman" w:hAnsi="Times New Roman"/>
          <w:sz w:val="24"/>
        </w:rPr>
      </w:r>
    </w:p>
    <w:p>
      <w:pPr>
        <w:pStyle w:val="Question"/>
        <w:rPr>
          <w:rFonts w:ascii="Times New Roman" w:hAnsi="Times New Roman" w:cs="Times New Roman"/>
          <w:sz w:val="24"/>
        </w:rPr>
      </w:pPr>
      <w:r>
        <w:rPr>
          <w:rFonts w:cs="Times New Roman" w:ascii="Times New Roman" w:hAnsi="Times New Roman"/>
          <w:sz w:val="24"/>
        </w:rPr>
        <w:t>ISSUE:  CPS 2</w:t>
        <w:tab/>
      </w:r>
    </w:p>
    <w:p>
      <w:pPr>
        <w:pStyle w:val="Question"/>
        <w:rPr>
          <w:rFonts w:ascii="Times New Roman" w:hAnsi="Times New Roman" w:cs="Times New Roman"/>
          <w:sz w:val="24"/>
        </w:rPr>
      </w:pPr>
      <w:r>
        <w:rPr>
          <w:rFonts w:cs="Times New Roman" w:ascii="Times New Roman" w:hAnsi="Times New Roman"/>
          <w:sz w:val="24"/>
        </w:rPr>
        <w:t xml:space="preserve">Should section 9.8.2, which requires ERCOT to produce certain data elements for each month to be used by TDSPs as billing determinants for transmission access service, be deleted?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Under the transmission billing methodology finally adopted by the Commission in Docket No. 22344, the billing determinants in Section 9.8.2 serve no useful purpose.  The billing determinants in Section 9.8.2 would be required under an approach whereby transmission providers bill competitive retailers directly for TCOS.  However, the Commission rejected that approach.  Therefore, unless the Commission plans to revisit the transmission billing issue, CPS suggests that Section 9.8.2 be deleted.</w:t>
      </w:r>
    </w:p>
    <w:p>
      <w:pPr>
        <w:pStyle w:val="Response"/>
        <w:rPr>
          <w:rFonts w:ascii="Times New Roman" w:hAnsi="Times New Roman" w:cs="Times New Roman"/>
          <w:sz w:val="24"/>
        </w:rPr>
      </w:pPr>
      <w:r>
        <w:rPr>
          <w:rFonts w:cs="Times New Roman" w:ascii="Times New Roman" w:hAnsi="Times New Roman"/>
          <w:sz w:val="24"/>
        </w:rPr>
        <w:tab/>
        <w:tab/>
      </w:r>
    </w:p>
    <w:p>
      <w:pPr>
        <w:pStyle w:val="Question"/>
        <w:rPr>
          <w:rFonts w:ascii="Times New Roman" w:hAnsi="Times New Roman" w:cs="Times New Roman"/>
          <w:sz w:val="24"/>
        </w:rPr>
      </w:pPr>
      <w:r>
        <w:rPr>
          <w:rFonts w:cs="Times New Roman" w:ascii="Times New Roman" w:hAnsi="Times New Roman"/>
          <w:sz w:val="24"/>
        </w:rPr>
        <w:t>ISSUE:  CPS 3</w:t>
        <w:tab/>
      </w:r>
    </w:p>
    <w:p>
      <w:pPr>
        <w:pStyle w:val="Question"/>
        <w:rPr>
          <w:rFonts w:ascii="Times New Roman" w:hAnsi="Times New Roman" w:cs="Times New Roman"/>
          <w:sz w:val="24"/>
        </w:rPr>
      </w:pPr>
      <w:r>
        <w:rPr>
          <w:rFonts w:cs="Times New Roman" w:ascii="Times New Roman" w:hAnsi="Times New Roman"/>
          <w:sz w:val="24"/>
        </w:rPr>
        <w:t xml:space="preserve">Should the definition of “Market Solution” be changed to broaden the scope from “local congestion” to any circumstance where local reliability problems are encountered?  Should resources be narrowed to mean “generation” and exclude loads acting as resources?  </w:t>
        <w:tab/>
        <w:tab/>
        <w:tab/>
        <w:tab/>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Section 2 of the ERCOT Protocols contains the following definition for a Market Solution:</w:t>
      </w:r>
    </w:p>
    <w:p>
      <w:pPr>
        <w:pStyle w:val="Response"/>
        <w:rPr>
          <w:rFonts w:ascii="Times New Roman" w:hAnsi="Times New Roman" w:cs="Times New Roman"/>
          <w:sz w:val="24"/>
        </w:rPr>
      </w:pPr>
      <w:r>
        <w:rPr>
          <w:rFonts w:cs="Times New Roman" w:ascii="Times New Roman" w:hAnsi="Times New Roman"/>
          <w:sz w:val="24"/>
        </w:rPr>
      </w:r>
    </w:p>
    <w:p>
      <w:pPr>
        <w:pStyle w:val="Normal"/>
        <w:ind w:start="720" w:end="720"/>
        <w:jc w:val="both"/>
        <w:rPr>
          <w:rFonts w:ascii="Times New Roman" w:hAnsi="Times New Roman" w:cs="Times New Roman"/>
          <w:sz w:val="24"/>
        </w:rPr>
      </w:pPr>
      <w:r>
        <w:rPr>
          <w:rFonts w:cs="Times New Roman" w:ascii="Times New Roman" w:hAnsi="Times New Roman"/>
          <w:sz w:val="24"/>
        </w:rPr>
        <w:t>A Market Solution exists when at least three unaffiliated Resources have available capacity making them capable of submitting bids to ERCOT to solve a circumstance of local Congestion and no one bidder is essential to solving the Congestion.</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CPS believes that this definition should not be limited to “a circumstance of local Congestion.”  Rather, the definition should be applied to any circumstance in which a local reliability problem is encountered, which includes local Congestion and other local reliability problems, such as voltage support considerations.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Further, the definition refers to all Resources, which includes Generation Resources and Loads acting as Resources.  CPS does not believe that it is appropriate to include Loads acting as Resources in the Market Solution definition, because the mere fact that a Load has registered to act as a Resource on some occasions does mean that it will be willing or able to participate and have capacity available on all occasions.  Therefore, CPS suggests that the term Resources be replaced with “Generation Resources.”  CPS believes that Loads Acting as Resources could also be included in the definition to the extent that the Load Acting as a Resource has an active bid of sufficient capacity capable of solving the Reliability problem.</w:t>
      </w:r>
    </w:p>
    <w:p>
      <w:pPr>
        <w:pStyle w:val="Response"/>
        <w:rPr>
          <w:rFonts w:ascii="Times New Roman" w:hAnsi="Times New Roman" w:cs="Times New Roman"/>
          <w:sz w:val="24"/>
        </w:rPr>
      </w:pPr>
      <w:r>
        <w:rPr>
          <w:rFonts w:cs="Times New Roman" w:ascii="Times New Roman" w:hAnsi="Times New Roman"/>
          <w:sz w:val="24"/>
        </w:rPr>
      </w:r>
    </w:p>
    <w:p>
      <w:pPr>
        <w:pStyle w:val="Question"/>
        <w:rPr>
          <w:rFonts w:ascii="Times New Roman" w:hAnsi="Times New Roman" w:cs="Times New Roman"/>
          <w:sz w:val="24"/>
        </w:rPr>
      </w:pPr>
      <w:r>
        <w:rPr>
          <w:rFonts w:cs="Times New Roman" w:ascii="Times New Roman" w:hAnsi="Times New Roman"/>
          <w:sz w:val="24"/>
        </w:rPr>
        <w:t>ISSUE:  CPS 4</w:t>
        <w:tab/>
      </w:r>
    </w:p>
    <w:p>
      <w:pPr>
        <w:pStyle w:val="Question"/>
        <w:rPr>
          <w:rFonts w:ascii="Times New Roman" w:hAnsi="Times New Roman" w:cs="Times New Roman"/>
          <w:sz w:val="24"/>
        </w:rPr>
      </w:pPr>
      <w:r>
        <w:rPr>
          <w:rFonts w:cs="Times New Roman" w:ascii="Times New Roman" w:hAnsi="Times New Roman"/>
          <w:sz w:val="24"/>
        </w:rPr>
        <w:t xml:space="preserve">Should the effective date of any revision to the Protocols be extended to at least 35 days beyond the date of the decision of the Board to allow market participants to appeal the change decided by the Commission and should the effective date be extended further pending the decision on appeal? Should ERCOT file documentation of the request to change to the Commission along with the informational filing?  </w:t>
        <w:tab/>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Section 21.4.8 of the ERCOT Protocols provides that “[I]f the ERCOT Board approves a change or changes to the Protocols, such change(s) shall be filed with the PUCT for informational purposes.”  Section 21.4.8 sets forth the requirements for appeal of an ERCOT Board decision to the PUCT, stating that appeals to the PUCT must be made within 35 days of the ERCOT Board decision.  Section 21 is unclear as to the effective date or the implementation date of Protocol changes once approved by the Board.</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As a matter of due process, CPS believes that the effective date of any revisions to the ERCOT Protocols should be extended to at least 35 days beyond the date of a relevant ERCOT Board decision to allow affected market participants the opportunity to appeal such decisions to the Commission.  In the event such an appeal is filed with the Commission, the effective date of changes should be further extended until such time as the Commission issues an administratively final decision regarding the contested change to the Protocols.  The implementation of Board-approved changes prior to the exhaustion of administrative remedies could result in irreparable financial harm or prejudice the position of one or more dissenting parties.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In addition, in its informational filing to the Commission regarding changes to the ERCOT Protocols, ERCOT should be required to file with the Commission, along with the specific change to the Protocol, all relevant documentation received or developed in the course of implementing the relevant change.  This would include the original change request, the Revision Recommendation Report, the Impact Analysis, all comments of market participants concerning the change, and any other relevant documents received or developed by ERCOT or one of its Committees or Subcommittees during the change review process.</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Finally, CPS recognizes that there may be changes to the Protocols that may require expedited approval.  In fact, the final section of Section 21, Section 21.5, addresses urgent requests for Protocols revisions and the criteria by which a request may be deemed urgent.  Urgent requests are subject to approval by the ERCOT Board.  It appears from the Protocols language that urgent requests are also subject to the 35-day appeal timeframe to the Commission.  In the case of an urgent request, CPS believes that it may be appropriate to shorten the 35-day appeal period; however, some window of opportunity for appeal even of urgent requests should be maintained. </w:t>
      </w:r>
    </w:p>
    <w:p>
      <w:pPr>
        <w:pStyle w:val="Response"/>
        <w:rPr>
          <w:rFonts w:ascii="Times New Roman" w:hAnsi="Times New Roman" w:cs="Times New Roman"/>
          <w:sz w:val="24"/>
        </w:rPr>
      </w:pPr>
      <w:r>
        <w:rPr>
          <w:rFonts w:cs="Times New Roman" w:ascii="Times New Roman" w:hAnsi="Times New Roman"/>
          <w:sz w:val="24"/>
        </w:rPr>
        <w:tab/>
        <w:tab/>
        <w:tab/>
      </w:r>
    </w:p>
    <w:p>
      <w:pPr>
        <w:pStyle w:val="Question"/>
        <w:rPr>
          <w:rFonts w:ascii="Times New Roman" w:hAnsi="Times New Roman" w:cs="Times New Roman"/>
          <w:sz w:val="24"/>
        </w:rPr>
      </w:pPr>
      <w:r>
        <w:rPr>
          <w:rFonts w:cs="Times New Roman" w:ascii="Times New Roman" w:hAnsi="Times New Roman"/>
          <w:sz w:val="24"/>
        </w:rPr>
        <w:t>ISSUE:  CPS 5</w:t>
        <w:tab/>
      </w:r>
    </w:p>
    <w:p>
      <w:pPr>
        <w:pStyle w:val="Question"/>
        <w:rPr>
          <w:rFonts w:ascii="Times New Roman" w:hAnsi="Times New Roman" w:cs="Times New Roman"/>
          <w:sz w:val="24"/>
        </w:rPr>
      </w:pPr>
      <w:r>
        <w:rPr>
          <w:rFonts w:cs="Times New Roman" w:ascii="Times New Roman" w:hAnsi="Times New Roman"/>
          <w:sz w:val="24"/>
        </w:rPr>
        <w:t>Due to the gaps between the August and November Protocols and the financial impact such gaps could have on participants beginning June 1, 2002, should Commission assess the commencement of a single control area operation on June 1, 2001 given the gaps?</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CPS believes that there are certain aspects of the ERCOT market design that are inconsistent with competitive markets and provide perverse price incentives.  For example, the lack of cost-causation based mechanisms for congestion management (zonal and local) and transmission losses are, in our opinion, significant market design flaws.  CPS has raised other concerns that are less egregious from a market design standpoint.  Other parties have raised market design issues as well, which they may characterize as major or minor from their perspectives.</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In addition, the Commission has raised several issues to be addressed in this proceeding.  It is not clear as to the Commission’s ultimate position on those issues or the various issues raised by the parties to this proceeding.  However, to the extent that the Commission does conclude that certain changes are required in the market design, it is clear that it will be difficult and costly to accommodate changes of any significance in the system design for June 1, 2001 implementation.</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Thus, the purpose in raising this issue is to highlight the fact that, to the extent the Commission decides upon any changes to the ERCOT Protocols, there is likely a cost/benefit analysis to be made regarding the timing of the implementation of those changes.  Therefore, to the extent the Commission does decide upon changes to the Protocols, including those changes recommended by CPS, CPS suggests that the Commission establish a process in this proceeding by which market participants and ERCOT can provide input regarding the timing of those changes.  Such a process would allow the Commission to gain a better understanding of the costs and readiness impacts (for market participants as well as ERCOT) associated with any changes as a function of the timing, which CPS believes is a critical factor to weigh against the deemed benefit to the public interest. </w:t>
      </w:r>
    </w:p>
    <w:p>
      <w:pPr>
        <w:pStyle w:val="Response"/>
        <w:rPr>
          <w:rFonts w:ascii="Times New Roman" w:hAnsi="Times New Roman" w:cs="Times New Roman"/>
          <w:sz w:val="24"/>
        </w:rPr>
      </w:pPr>
      <w:r>
        <w:rPr>
          <w:rFonts w:cs="Times New Roman" w:ascii="Times New Roman" w:hAnsi="Times New Roman"/>
          <w:sz w:val="24"/>
        </w:rPr>
      </w:r>
    </w:p>
    <w:p>
      <w:pPr>
        <w:pStyle w:val="Question"/>
        <w:rPr>
          <w:rFonts w:ascii="Times New Roman" w:hAnsi="Times New Roman" w:cs="Times New Roman"/>
          <w:sz w:val="24"/>
        </w:rPr>
      </w:pPr>
      <w:r>
        <w:rPr>
          <w:rFonts w:cs="Times New Roman" w:ascii="Times New Roman" w:hAnsi="Times New Roman"/>
          <w:sz w:val="24"/>
        </w:rPr>
        <w:t>ISSUE:  CPS 6</w:t>
      </w:r>
    </w:p>
    <w:p>
      <w:pPr>
        <w:pStyle w:val="Question"/>
        <w:rPr>
          <w:rFonts w:ascii="Times New Roman" w:hAnsi="Times New Roman" w:cs="Times New Roman"/>
          <w:sz w:val="24"/>
        </w:rPr>
      </w:pPr>
      <w:r>
        <w:rPr>
          <w:rFonts w:cs="Times New Roman" w:ascii="Times New Roman" w:hAnsi="Times New Roman"/>
          <w:sz w:val="24"/>
        </w:rPr>
        <w:t>Do (and should) the equations in Sections 7.3.3.2 and 7.3.3.3.1 track the value associated with CSCs as that value  would be reflected under the zonal method were such method to be implemented on June 1, 2001?</w:t>
      </w:r>
    </w:p>
    <w:p>
      <w:pPr>
        <w:pStyle w:val="Normal"/>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The referenced equations do not, but should, track the value associated with CSCs as that value would be reflected under the zonal method were such method to be implemented on June 1, 2001.  This is easily illustrated by comparing the referenced equations to the corresponding equations to be used under the zonal method.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The equation for tracking balancing energy CSC cost in Section 7.3.3.2 is as follows:</w:t>
      </w:r>
    </w:p>
    <w:p>
      <w:pPr>
        <w:pStyle w:val="Normal"/>
        <w:rPr>
          <w:rFonts w:ascii="Times New Roman" w:hAnsi="Times New Roman" w:cs="Times New Roman"/>
          <w:sz w:val="24"/>
        </w:rPr>
      </w:pPr>
      <w:r>
        <w:rPr>
          <w:rFonts w:cs="Times New Roman" w:ascii="Times New Roman" w:hAnsi="Times New Roman"/>
          <w:sz w:val="24"/>
        </w:rPr>
      </w:r>
    </w:p>
    <w:p>
      <w:pPr>
        <w:pStyle w:val="Normal"/>
        <w:ind w:start="1080" w:end="0"/>
        <w:rPr/>
      </w:pPr>
      <w:r>
        <w:rPr>
          <w:rFonts w:cs="Times New Roman" w:ascii="Times New Roman" w:hAnsi="Times New Roman"/>
          <w:b/>
          <w:sz w:val="24"/>
        </w:rPr>
        <w:t>CSC</w:t>
      </w:r>
      <w:r>
        <w:rPr>
          <w:rFonts w:cs="Times New Roman" w:ascii="Times New Roman" w:hAnsi="Times New Roman"/>
          <w:b/>
          <w:sz w:val="24"/>
          <w:vertAlign w:val="subscript"/>
        </w:rPr>
        <w:t xml:space="preserve">BEcsci           </w:t>
      </w:r>
      <w:r>
        <w:rPr>
          <w:rFonts w:cs="Times New Roman" w:ascii="Times New Roman" w:hAnsi="Times New Roman"/>
          <w:b/>
          <w:sz w:val="24"/>
        </w:rPr>
        <w:t>=</w:t>
      </w:r>
      <w:r>
        <w:rPr>
          <w:rFonts w:cs="Times New Roman" w:ascii="Times New Roman" w:hAnsi="Times New Roman"/>
          <w:b/>
          <w:sz w:val="24"/>
          <w:vertAlign w:val="subscript"/>
        </w:rPr>
        <w:t xml:space="preserve">   </w:t>
      </w:r>
      <w:r>
        <w:rPr>
          <w:rFonts w:cs="Times New Roman" w:ascii="Times New Roman" w:hAnsi="Times New Roman"/>
          <w:b/>
          <w:sz w:val="24"/>
        </w:rPr>
        <w:t>SP</w:t>
      </w:r>
      <w:r>
        <w:rPr>
          <w:rFonts w:cs="Times New Roman" w:ascii="Times New Roman" w:hAnsi="Times New Roman"/>
          <w:b/>
          <w:sz w:val="24"/>
          <w:vertAlign w:val="subscript"/>
        </w:rPr>
        <w:t xml:space="preserve">CSCi </w:t>
      </w:r>
      <w:r>
        <w:rPr>
          <w:rFonts w:cs="Times New Roman" w:ascii="Times New Roman" w:hAnsi="Times New Roman"/>
          <w:b/>
          <w:sz w:val="24"/>
        </w:rPr>
        <w:t>* max(0, I</w:t>
      </w:r>
      <w:r>
        <w:rPr>
          <w:rFonts w:cs="Times New Roman" w:ascii="Times New Roman" w:hAnsi="Times New Roman"/>
          <w:b/>
          <w:sz w:val="24"/>
          <w:vertAlign w:val="subscript"/>
        </w:rPr>
        <w:t>CSCi</w:t>
      </w:r>
      <w:r>
        <w:rPr>
          <w:rFonts w:cs="Times New Roman" w:ascii="Times New Roman" w:hAnsi="Times New Roman"/>
          <w:b/>
          <w:sz w:val="24"/>
        </w:rPr>
        <w:t xml:space="preserve"> – TTC</w:t>
      </w:r>
      <w:r>
        <w:rPr>
          <w:rFonts w:cs="Times New Roman" w:ascii="Times New Roman" w:hAnsi="Times New Roman"/>
          <w:b/>
          <w:sz w:val="24"/>
          <w:vertAlign w:val="subscript"/>
        </w:rPr>
        <w:t>CSCi</w:t>
      </w:r>
      <w:r>
        <w:rPr>
          <w:rFonts w:cs="Times New Roman" w:ascii="Times New Roman" w:hAnsi="Times New Roman"/>
          <w:b/>
          <w:sz w:val="24"/>
        </w:rPr>
        <w:t xml:space="preserve">)  </w:t>
      </w:r>
    </w:p>
    <w:p>
      <w:pPr>
        <w:pStyle w:val="Normal"/>
        <w:rPr>
          <w:rFonts w:ascii="Times New Roman" w:hAnsi="Times New Roman" w:cs="Times New Roman"/>
          <w:b/>
          <w:sz w:val="24"/>
        </w:rPr>
      </w:pPr>
      <w:r>
        <w:rPr>
          <w:rFonts w:cs="Times New Roman" w:ascii="Times New Roman" w:hAnsi="Times New Roman"/>
          <w:b/>
          <w:sz w:val="24"/>
        </w:rPr>
      </w:r>
    </w:p>
    <w:p>
      <w:pPr>
        <w:pStyle w:val="Response"/>
        <w:rPr>
          <w:rFonts w:ascii="Times New Roman" w:hAnsi="Times New Roman" w:cs="Times New Roman"/>
          <w:sz w:val="24"/>
        </w:rPr>
      </w:pPr>
      <w:r>
        <w:rPr>
          <w:rFonts w:cs="Times New Roman" w:ascii="Times New Roman" w:hAnsi="Times New Roman"/>
          <w:sz w:val="24"/>
        </w:rPr>
        <w:t>This equation basically multiplies the shadow price of the constraint (SP, which is a value indicative of the value of the constraint) by the difference between the scheduled MW impact and the total transfer capability of the constrained interface.</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In contrast, under the zonal method, the following equation is applied from Section 7.3.4.1 relating to the Balancing Energy CSC congestion charge:</w:t>
      </w:r>
    </w:p>
    <w:p>
      <w:pPr>
        <w:pStyle w:val="Normal"/>
        <w:rPr>
          <w:rFonts w:ascii="Times New Roman" w:hAnsi="Times New Roman" w:cs="Times New Roman"/>
          <w:sz w:val="24"/>
        </w:rPr>
      </w:pPr>
      <w:r>
        <w:rPr>
          <w:rFonts w:cs="Times New Roman" w:ascii="Times New Roman" w:hAnsi="Times New Roman"/>
          <w:sz w:val="24"/>
        </w:rPr>
      </w:r>
    </w:p>
    <w:p>
      <w:pPr>
        <w:pStyle w:val="BodyTextIndent"/>
        <w:ind w:start="1080" w:end="0"/>
        <w:rPr/>
      </w:pPr>
      <w:r>
        <w:rPr>
          <w:rFonts w:cs="Times New Roman" w:ascii="Times New Roman" w:hAnsi="Times New Roman"/>
          <w:b/>
          <w:sz w:val="24"/>
        </w:rPr>
        <w:t>CSC</w:t>
      </w:r>
      <w:r>
        <w:rPr>
          <w:rFonts w:cs="Times New Roman" w:ascii="Times New Roman" w:hAnsi="Times New Roman"/>
          <w:b/>
          <w:sz w:val="24"/>
          <w:vertAlign w:val="subscript"/>
        </w:rPr>
        <w:t>BECSCiq</w:t>
      </w:r>
      <w:r>
        <w:rPr>
          <w:rFonts w:cs="Times New Roman" w:ascii="Times New Roman" w:hAnsi="Times New Roman"/>
          <w:b/>
          <w:sz w:val="24"/>
        </w:rPr>
        <w:tab/>
        <w:t>=</w:t>
        <w:tab/>
        <w:t>SP</w:t>
      </w:r>
      <w:r>
        <w:rPr>
          <w:rFonts w:cs="Times New Roman" w:ascii="Times New Roman" w:hAnsi="Times New Roman"/>
          <w:b/>
          <w:sz w:val="24"/>
          <w:vertAlign w:val="subscript"/>
        </w:rPr>
        <w:t>CSCi</w:t>
      </w:r>
      <w:r>
        <w:rPr>
          <w:rFonts w:cs="Times New Roman" w:ascii="Times New Roman" w:hAnsi="Times New Roman"/>
          <w:b/>
          <w:sz w:val="24"/>
        </w:rPr>
        <w:tab/>
        <w:t xml:space="preserve">* max(0, </w:t>
      </w:r>
      <w:r>
        <w:rPr>
          <w:rFonts w:cs="Times New Roman" w:ascii="Times New Roman" w:hAnsi="Times New Roman"/>
          <w:b/>
          <w:sz w:val="24"/>
          <w:vertAlign w:val="subscript"/>
        </w:rPr>
        <w:t xml:space="preserve"> </w:t>
      </w:r>
      <w:r>
        <w:rPr>
          <w:rFonts w:cs="Times New Roman" w:ascii="Times New Roman" w:hAnsi="Times New Roman"/>
          <w:b/>
          <w:sz w:val="24"/>
        </w:rPr>
        <w:t>I</w:t>
      </w:r>
      <w:r>
        <w:rPr>
          <w:rFonts w:cs="Times New Roman" w:ascii="Times New Roman" w:hAnsi="Times New Roman"/>
          <w:b/>
          <w:sz w:val="24"/>
          <w:vertAlign w:val="subscript"/>
        </w:rPr>
        <w:t>CSCiq</w:t>
      </w:r>
      <w:r>
        <w:rPr>
          <w:rFonts w:cs="Times New Roman" w:ascii="Times New Roman" w:hAnsi="Times New Roman"/>
          <w:b/>
          <w:sz w:val="24"/>
        </w:rPr>
        <w:t xml:space="preserve"> – TCR</w:t>
      </w:r>
      <w:r>
        <w:rPr>
          <w:rFonts w:cs="Times New Roman" w:ascii="Times New Roman" w:hAnsi="Times New Roman"/>
          <w:b/>
          <w:sz w:val="24"/>
          <w:vertAlign w:val="subscript"/>
        </w:rPr>
        <w:t>CSCiq</w:t>
      </w:r>
      <w:r>
        <w:rPr>
          <w:rFonts w:cs="Times New Roman" w:ascii="Times New Roman" w:hAnsi="Times New Roman"/>
          <w:b/>
          <w:sz w:val="24"/>
        </w:rPr>
        <w:t>)</w:t>
      </w:r>
    </w:p>
    <w:p>
      <w:pPr>
        <w:pStyle w:val="Normal"/>
        <w:rPr>
          <w:rFonts w:ascii="Times New Roman" w:hAnsi="Times New Roman" w:cs="Times New Roman"/>
          <w:b/>
          <w:sz w:val="24"/>
        </w:rPr>
      </w:pPr>
      <w:r>
        <w:rPr>
          <w:rFonts w:cs="Times New Roman" w:ascii="Times New Roman" w:hAnsi="Times New Roman"/>
          <w:b/>
          <w:sz w:val="24"/>
        </w:rPr>
      </w:r>
    </w:p>
    <w:p>
      <w:pPr>
        <w:pStyle w:val="Response"/>
        <w:rPr>
          <w:rFonts w:ascii="Times New Roman" w:hAnsi="Times New Roman" w:cs="Times New Roman"/>
          <w:sz w:val="24"/>
        </w:rPr>
      </w:pPr>
      <w:r>
        <w:rPr>
          <w:rFonts w:cs="Times New Roman" w:ascii="Times New Roman" w:hAnsi="Times New Roman"/>
          <w:sz w:val="24"/>
        </w:rPr>
        <w:t>Similar to the previous equation, this equation multiplies the shadow price by the difference between the scheduled MW impact and the owned TCRs for each QSE.  Because this equation is applied to each QSE individually, a similar equation is also applied to account for individual QSE counterflows (unlike the previous equation, which is a market aggregate that embeds counterflows).</w:t>
      </w:r>
    </w:p>
    <w:p>
      <w:pPr>
        <w:pStyle w:val="Response"/>
        <w:rPr>
          <w:rFonts w:ascii="Times New Roman" w:hAnsi="Times New Roman" w:cs="Times New Roman"/>
          <w:sz w:val="24"/>
        </w:rPr>
      </w:pPr>
      <w:r>
        <w:rPr>
          <w:rFonts w:cs="Times New Roman" w:ascii="Times New Roman" w:hAnsi="Times New Roman"/>
          <w:sz w:val="24"/>
        </w:rPr>
      </w:r>
    </w:p>
    <w:p>
      <w:pPr>
        <w:pStyle w:val="Response"/>
        <w:rPr/>
      </w:pPr>
      <w:r>
        <w:rPr>
          <w:rFonts w:cs="Times New Roman" w:ascii="Times New Roman" w:hAnsi="Times New Roman"/>
          <w:sz w:val="24"/>
        </w:rPr>
        <w:t xml:space="preserve">The easiest way to compare these two equations is to assume that, under the zonal method, no market participants actually purchased any TCRs (i.e., prepaid for congestion costs).  In this case, the congestion charges are all incurred in real-time, and those charges are equal to the shadow price times the </w:t>
      </w:r>
      <w:r>
        <w:rPr>
          <w:rFonts w:cs="Times New Roman" w:ascii="Times New Roman" w:hAnsi="Times New Roman"/>
          <w:b/>
          <w:sz w:val="24"/>
        </w:rPr>
        <w:t>total</w:t>
      </w:r>
      <w:r>
        <w:rPr>
          <w:rFonts w:cs="Times New Roman" w:ascii="Times New Roman" w:hAnsi="Times New Roman"/>
          <w:sz w:val="24"/>
        </w:rPr>
        <w:t xml:space="preserve"> scheduled impact for each QSE.  In contrast, under the balancing energy tracking equation, the congestion cost is always much less than that which would otherwise be incurred under the zonal method, because the shadow price is not multiplied by the total scheduled impact, but instead by the total scheduled impact less the total transfer capability of the constrained interface.  The subtraction of the TTC in this equation is inappropriate, and results in the tracking of a number that is totally inconsistent with the intent.  Even if one were to assume that the TCRs were fully subscribed ahead of time in an amount equal to the TTC, that does not change the result.  In this case, the TCRs would represent a portion of the value of the constraint that was prepaid, and the difference would be captured in real-time.  However, the fact is that this is merely a matter of timing, and does not change the total value associated with the CSC (the prepaid plus the real-time value).</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The identical problem exists with respect to the replacement reserve equations in Section 7.3.3.3.1.</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Some may argue that, because the revenues from the TCR auctions will be uplift (or downlift, if you will) to all market participants under the zonal method, that it is appropriate to subtract the TTC during the postage stamp period.  CPS strongly disagrees.  This does not change the fact that, during the postage stamp period, the value associated with a constraint is equal to the total scheduled impact times the shadow price associated with the constraint—not the scheduled impact minus the TTC.  </w:t>
      </w:r>
    </w:p>
    <w:p>
      <w:pPr>
        <w:pStyle w:val="Response"/>
        <w:rPr>
          <w:rFonts w:ascii="Times New Roman" w:hAnsi="Times New Roman" w:cs="Times New Roman"/>
          <w:sz w:val="24"/>
        </w:rPr>
      </w:pPr>
      <w:r>
        <w:rPr>
          <w:rFonts w:cs="Times New Roman" w:ascii="Times New Roman" w:hAnsi="Times New Roman"/>
          <w:sz w:val="24"/>
        </w:rPr>
      </w:r>
    </w:p>
    <w:p>
      <w:pPr>
        <w:pStyle w:val="Response"/>
        <w:rPr/>
      </w:pPr>
      <w:r>
        <w:rPr>
          <w:rFonts w:cs="Times New Roman" w:ascii="Times New Roman" w:hAnsi="Times New Roman"/>
          <w:sz w:val="24"/>
        </w:rPr>
        <w:t xml:space="preserve">The illustration in Figure 1 can be used to graphically demonstrate the problems identified above.  Under the tracking equations for the interim postage stamp period as they currently exist in the Protocols, </w:t>
      </w:r>
      <w:r>
        <w:rPr>
          <w:rFonts w:cs="Times New Roman" w:ascii="Times New Roman" w:hAnsi="Times New Roman"/>
          <w:b/>
          <w:sz w:val="24"/>
        </w:rPr>
        <w:t>Area A</w:t>
      </w:r>
      <w:r>
        <w:rPr>
          <w:rFonts w:cs="Times New Roman" w:ascii="Times New Roman" w:hAnsi="Times New Roman"/>
          <w:sz w:val="24"/>
        </w:rPr>
        <w:t xml:space="preserve"> in Figure 1 represents the cost of CSC congestion management that will be uplift to the entire market.  In contrast, under the zonal method, </w:t>
      </w:r>
      <w:r>
        <w:rPr>
          <w:rFonts w:cs="Times New Roman" w:ascii="Times New Roman" w:hAnsi="Times New Roman"/>
          <w:b/>
          <w:sz w:val="24"/>
        </w:rPr>
        <w:t>Area A*</w:t>
      </w:r>
      <w:r>
        <w:rPr>
          <w:rFonts w:cs="Times New Roman" w:ascii="Times New Roman" w:hAnsi="Times New Roman"/>
          <w:sz w:val="24"/>
        </w:rPr>
        <w:t xml:space="preserve"> represents that same amount that would be directly assigned to the users of the constrained interface.  </w:t>
      </w:r>
      <w:r>
        <w:rPr>
          <w:rFonts w:cs="Times New Roman" w:ascii="Times New Roman" w:hAnsi="Times New Roman"/>
          <w:b/>
          <w:sz w:val="24"/>
        </w:rPr>
        <w:t>Area B</w:t>
      </w:r>
      <w:r>
        <w:rPr>
          <w:rFonts w:cs="Times New Roman" w:ascii="Times New Roman" w:hAnsi="Times New Roman"/>
          <w:sz w:val="24"/>
        </w:rPr>
        <w:t xml:space="preserve"> represents the value of the constrained interface that accrues to users of that interface </w:t>
      </w:r>
      <w:r>
        <w:rPr>
          <w:rFonts w:cs="Times New Roman" w:ascii="Times New Roman" w:hAnsi="Times New Roman"/>
          <w:i/>
          <w:sz w:val="24"/>
        </w:rPr>
        <w:t>without cost</w:t>
      </w:r>
      <w:r>
        <w:rPr>
          <w:rFonts w:cs="Times New Roman" w:ascii="Times New Roman" w:hAnsi="Times New Roman"/>
          <w:sz w:val="24"/>
        </w:rPr>
        <w:t xml:space="preserve"> under the postage stamp method.  In contrast, </w:t>
      </w:r>
      <w:r>
        <w:rPr>
          <w:rFonts w:cs="Times New Roman" w:ascii="Times New Roman" w:hAnsi="Times New Roman"/>
          <w:b/>
          <w:sz w:val="24"/>
        </w:rPr>
        <w:t>Area B*</w:t>
      </w:r>
      <w:r>
        <w:rPr>
          <w:rFonts w:cs="Times New Roman" w:ascii="Times New Roman" w:hAnsi="Times New Roman"/>
          <w:sz w:val="24"/>
        </w:rPr>
        <w:t xml:space="preserve"> represents that same amount which would be directly assigned to users of the constrained interface—either in real-time or through the purchase of TCRs.  The revenues associated with </w:t>
      </w:r>
      <w:r>
        <w:rPr>
          <w:rFonts w:cs="Times New Roman" w:ascii="Times New Roman" w:hAnsi="Times New Roman"/>
          <w:b/>
          <w:sz w:val="24"/>
        </w:rPr>
        <w:t>Area B*</w:t>
      </w:r>
      <w:r>
        <w:rPr>
          <w:rFonts w:cs="Times New Roman" w:ascii="Times New Roman" w:hAnsi="Times New Roman"/>
          <w:sz w:val="24"/>
        </w:rPr>
        <w:t xml:space="preserve"> are, in turn, downlift to the market.</w:t>
      </w:r>
    </w:p>
    <w:p>
      <w:pPr>
        <w:pStyle w:val="Response"/>
        <w:rPr>
          <w:rFonts w:ascii="Times New Roman" w:hAnsi="Times New Roman" w:cs="Times New Roman"/>
          <w:sz w:val="24"/>
          <w:lang w:val="en-CA"/>
        </w:rPr>
      </w:pPr>
      <w:r>
        <w:rPr>
          <w:rFonts w:cs="Times New Roman" w:ascii="Times New Roman" w:hAnsi="Times New Roman"/>
          <w:sz w:val="24"/>
          <w:lang w:val="en-CA"/>
        </w:rPr>
        <mc:AlternateContent>
          <mc:Choice Requires="wpg">
            <w:drawing>
              <wp:anchor behindDoc="0" distT="0" distB="0" distL="114935" distR="114935" simplePos="0" locked="0" layoutInCell="0" allowOverlap="1" relativeHeight="26">
                <wp:simplePos x="0" y="0"/>
                <wp:positionH relativeFrom="margin">
                  <wp:posOffset>0</wp:posOffset>
                </wp:positionH>
                <wp:positionV relativeFrom="margin">
                  <wp:posOffset>0</wp:posOffset>
                </wp:positionV>
                <wp:extent cx="3576955" cy="2451735"/>
                <wp:effectExtent l="0" t="0" r="0" b="5080"/>
                <wp:wrapTopAndBottom/>
                <wp:docPr id="1" name=""/>
                <a:graphic xmlns:a="http://schemas.openxmlformats.org/drawingml/2006/main">
                  <a:graphicData uri="http://schemas.microsoft.com/office/word/2010/wordprocessingGroup">
                    <wpg:wgp>
                      <wpg:cNvGrpSpPr/>
                      <wpg:grpSpPr>
                        <a:xfrm>
                          <a:off x="0" y="0"/>
                          <a:ext cx="3576960" cy="2451600"/>
                          <a:chOff x="0" y="0"/>
                          <a:chExt cx="3576960" cy="2451600"/>
                        </a:xfrm>
                      </wpg:grpSpPr>
                      <wps:wsp>
                        <wps:cNvPr id="2" name=""/>
                        <wps:cNvSpPr/>
                        <wps:spPr>
                          <a:xfrm>
                            <a:off x="294480" y="442080"/>
                            <a:ext cx="696600" cy="1698480"/>
                          </a:xfrm>
                          <a:prstGeom prst="rect">
                            <a:avLst/>
                          </a:prstGeom>
                          <a:solidFill>
                            <a:srgbClr val="c0c0c0"/>
                          </a:solidFill>
                          <a:ln w="9360">
                            <a:solidFill>
                              <a:srgbClr val="000000"/>
                            </a:solidFill>
                            <a:miter/>
                          </a:ln>
                        </wps:spPr>
                        <wps:style>
                          <a:lnRef idx="0"/>
                          <a:fillRef idx="0"/>
                          <a:effectRef idx="0"/>
                          <a:fontRef idx="minor"/>
                        </wps:style>
                        <wps:bodyPr/>
                      </wps:wsp>
                      <wps:wsp>
                        <wps:cNvPr id="3" name=""/>
                        <wps:cNvSpPr/>
                        <wps:spPr>
                          <a:xfrm>
                            <a:off x="294480" y="1080000"/>
                            <a:ext cx="696600" cy="1371600"/>
                          </a:xfrm>
                          <a:prstGeom prst="rect">
                            <a:avLst/>
                          </a:prstGeom>
                          <a:solidFill>
                            <a:srgbClr val="00cc99"/>
                          </a:solidFill>
                          <a:ln w="9360">
                            <a:solidFill>
                              <a:srgbClr val="000000"/>
                            </a:solidFill>
                            <a:miter/>
                          </a:ln>
                        </wps:spPr>
                        <wps:style>
                          <a:lnRef idx="0"/>
                          <a:fillRef idx="0"/>
                          <a:effectRef idx="0"/>
                          <a:fontRef idx="minor"/>
                        </wps:style>
                        <wps:bodyPr/>
                      </wps:wsp>
                      <wps:wsp>
                        <wps:cNvSpPr/>
                        <wps:spPr>
                          <a:xfrm>
                            <a:off x="1067400" y="470520"/>
                            <a:ext cx="146052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386360" y="252720"/>
                            <a:ext cx="779040" cy="396720"/>
                          </a:xfrm>
                          <a:prstGeom prst="rect">
                            <a:avLst/>
                          </a:prstGeom>
                          <a:solidFill>
                            <a:srgbClr val="ffffff"/>
                          </a:solidFill>
                          <a:ln w="0">
                            <a:noFill/>
                          </a:ln>
                        </wps:spPr>
                        <wps:txbx>
                          <w:txbxContent>
                            <w:p>
                              <w:pPr>
                                <w:overflowPunct w:val="false"/>
                                <w:bidi w:val="0"/>
                                <w:jc w:val="center"/>
                                <w:rPr/>
                              </w:pPr>
                              <w:r>
                                <w:rPr>
                                  <w:kern w:val="2"/>
                                  <w:sz w:val="16"/>
                                  <w:szCs w:val="20"/>
                                  <w:rFonts w:ascii="Arial" w:hAnsi="Arial" w:eastAsia="Times New Roman" w:cs="Arial"/>
                                  <w:color w:val="000000"/>
                                  <w:lang w:val="en-US" w:eastAsia="en-US"/>
                                </w:rPr>
                                <w:t>Scheduled</w:t>
                              </w:r>
                            </w:p>
                            <w:p>
                              <w:pPr>
                                <w:overflowPunct w:val="false"/>
                                <w:bidi w:val="0"/>
                                <w:jc w:val="center"/>
                                <w:rPr/>
                              </w:pPr>
                              <w:r>
                                <w:rPr>
                                  <w:kern w:val="2"/>
                                  <w:sz w:val="16"/>
                                  <w:szCs w:val="20"/>
                                  <w:rFonts w:ascii="Arial" w:hAnsi="Arial" w:eastAsia="Times New Roman" w:cs="Arial"/>
                                  <w:color w:val="000000"/>
                                  <w:lang w:val="en-US" w:eastAsia="en-US"/>
                                </w:rPr>
                                <w:t>Impact x SP</w:t>
                              </w:r>
                            </w:p>
                          </w:txbxContent>
                        </wps:txbx>
                        <wps:bodyPr wrap="square" anchor="ctr">
                          <a:noAutofit/>
                        </wps:bodyPr>
                      </wps:wsp>
                      <wps:wsp>
                        <wps:cNvSpPr txBox="1"/>
                        <wps:spPr>
                          <a:xfrm>
                            <a:off x="457920" y="622800"/>
                            <a:ext cx="405000" cy="457200"/>
                          </a:xfrm>
                          <a:prstGeom prst="rect">
                            <a:avLst/>
                          </a:prstGeom>
                          <a:noFill/>
                          <a:ln w="0">
                            <a:noFill/>
                          </a:ln>
                        </wps:spPr>
                        <wps:txbx>
                          <w:txbxContent>
                            <w:p>
                              <w:pPr>
                                <w:overflowPunct w:val="false"/>
                                <w:bidi w:val="0"/>
                                <w:rPr/>
                              </w:pPr>
                              <w:r>
                                <w:rPr>
                                  <w:kern w:val="2"/>
                                  <w:sz w:val="48"/>
                                  <w:b/>
                                  <w:szCs w:val="20"/>
                                  <w:rFonts w:ascii="Arial" w:hAnsi="Arial" w:eastAsia="Times New Roman" w:cs="Arial"/>
                                  <w:color w:val="000000"/>
                                  <w:lang w:val="en-US" w:eastAsia="en-US"/>
                                </w:rPr>
                                <w:t>A</w:t>
                              </w:r>
                            </w:p>
                          </w:txbxContent>
                        </wps:txbx>
                        <wps:bodyPr wrap="square" anchor="ctr">
                          <a:noAutofit/>
                        </wps:bodyPr>
                      </wps:wsp>
                      <wps:wsp>
                        <wps:cNvSpPr txBox="1"/>
                        <wps:spPr>
                          <a:xfrm>
                            <a:off x="457920" y="1537200"/>
                            <a:ext cx="405000" cy="457200"/>
                          </a:xfrm>
                          <a:prstGeom prst="rect">
                            <a:avLst/>
                          </a:prstGeom>
                          <a:noFill/>
                          <a:ln w="0">
                            <a:noFill/>
                          </a:ln>
                        </wps:spPr>
                        <wps:txbx>
                          <w:txbxContent>
                            <w:p>
                              <w:pPr>
                                <w:overflowPunct w:val="false"/>
                                <w:bidi w:val="0"/>
                                <w:rPr/>
                              </w:pPr>
                              <w:r>
                                <w:rPr>
                                  <w:kern w:val="2"/>
                                  <w:sz w:val="48"/>
                                  <w:b/>
                                  <w:szCs w:val="20"/>
                                  <w:rFonts w:ascii="Arial" w:hAnsi="Arial" w:eastAsia="Times New Roman" w:cs="Arial"/>
                                  <w:color w:val="000000"/>
                                  <w:lang w:val="en-US" w:eastAsia="en-US"/>
                                </w:rPr>
                                <w:t>B</w:t>
                              </w:r>
                            </w:p>
                          </w:txbxContent>
                        </wps:txbx>
                        <wps:bodyPr wrap="square" anchor="ctr">
                          <a:noAutofit/>
                        </wps:bodyPr>
                      </wps:wsp>
                      <wps:wsp>
                        <wps:cNvSpPr txBox="1"/>
                        <wps:spPr>
                          <a:xfrm>
                            <a:off x="0" y="12600"/>
                            <a:ext cx="1285200" cy="275040"/>
                          </a:xfrm>
                          <a:prstGeom prst="rect">
                            <a:avLst/>
                          </a:prstGeom>
                          <a:noFill/>
                          <a:ln w="0">
                            <a:noFill/>
                          </a:ln>
                        </wps:spPr>
                        <wps:txbx>
                          <w:txbxContent>
                            <w:p>
                              <w:pPr>
                                <w:overflowPunct w:val="false"/>
                                <w:bidi w:val="0"/>
                                <w:rPr/>
                              </w:pPr>
                              <w:r>
                                <w:rPr>
                                  <w:kern w:val="2"/>
                                  <w:sz w:val="24"/>
                                  <w:b/>
                                  <w:u w:val="single"/>
                                  <w:szCs w:val="20"/>
                                  <w:rFonts w:ascii="Arial" w:hAnsi="Arial" w:eastAsia="Times New Roman" w:cs="Arial"/>
                                  <w:color w:val="000000"/>
                                  <w:lang w:val="en-US" w:eastAsia="en-US"/>
                                </w:rPr>
                                <w:t>Postage Stamp</w:t>
                              </w:r>
                            </w:p>
                          </w:txbxContent>
                        </wps:txbx>
                        <wps:bodyPr wrap="square" anchor="ctr">
                          <a:noAutofit/>
                        </wps:bodyPr>
                      </wps:wsp>
                      <wps:wsp>
                        <wps:cNvSpPr txBox="1"/>
                        <wps:spPr>
                          <a:xfrm>
                            <a:off x="2399040" y="0"/>
                            <a:ext cx="1177920" cy="275040"/>
                          </a:xfrm>
                          <a:prstGeom prst="rect">
                            <a:avLst/>
                          </a:prstGeom>
                          <a:noFill/>
                          <a:ln w="0">
                            <a:noFill/>
                          </a:ln>
                        </wps:spPr>
                        <wps:txbx>
                          <w:txbxContent>
                            <w:p>
                              <w:pPr>
                                <w:overflowPunct w:val="false"/>
                                <w:bidi w:val="0"/>
                                <w:rPr/>
                              </w:pPr>
                              <w:r>
                                <w:rPr>
                                  <w:kern w:val="2"/>
                                  <w:sz w:val="24"/>
                                  <w:b/>
                                  <w:u w:val="single"/>
                                  <w:szCs w:val="20"/>
                                  <w:rFonts w:ascii="Arial" w:hAnsi="Arial" w:eastAsia="Times New Roman" w:cs="Arial"/>
                                  <w:color w:val="000000"/>
                                  <w:lang w:val="en-US" w:eastAsia="en-US"/>
                                </w:rPr>
                                <w:t>Zonal Method</w:t>
                              </w:r>
                            </w:p>
                          </w:txbxContent>
                        </wps:txbx>
                        <wps:bodyPr wrap="square" anchor="ctr">
                          <a:noAutofit/>
                        </wps:bodyPr>
                      </wps:wsp>
                      <wps:wsp>
                        <wps:cNvPr id="4" name=""/>
                        <wps:cNvSpPr/>
                        <wps:spPr>
                          <a:xfrm>
                            <a:off x="2596680" y="442080"/>
                            <a:ext cx="696600" cy="1698480"/>
                          </a:xfrm>
                          <a:prstGeom prst="rect">
                            <a:avLst/>
                          </a:prstGeom>
                          <a:solidFill>
                            <a:srgbClr val="c0c0c0"/>
                          </a:solidFill>
                          <a:ln w="9360">
                            <a:solidFill>
                              <a:srgbClr val="000000"/>
                            </a:solidFill>
                            <a:miter/>
                          </a:ln>
                        </wps:spPr>
                        <wps:style>
                          <a:lnRef idx="0"/>
                          <a:fillRef idx="0"/>
                          <a:effectRef idx="0"/>
                          <a:fontRef idx="minor"/>
                        </wps:style>
                        <wps:bodyPr/>
                      </wps:wsp>
                      <wps:wsp>
                        <wps:cNvPr id="5" name=""/>
                        <wps:cNvSpPr/>
                        <wps:spPr>
                          <a:xfrm>
                            <a:off x="2596680" y="1080000"/>
                            <a:ext cx="696600" cy="1371600"/>
                          </a:xfrm>
                          <a:prstGeom prst="rect">
                            <a:avLst/>
                          </a:prstGeom>
                          <a:solidFill>
                            <a:srgbClr val="00cc99"/>
                          </a:solidFill>
                          <a:ln w="9360">
                            <a:solidFill>
                              <a:srgbClr val="000000"/>
                            </a:solidFill>
                            <a:miter/>
                          </a:ln>
                        </wps:spPr>
                        <wps:style>
                          <a:lnRef idx="0"/>
                          <a:fillRef idx="0"/>
                          <a:effectRef idx="0"/>
                          <a:fontRef idx="minor"/>
                        </wps:style>
                        <wps:bodyPr/>
                      </wps:wsp>
                      <wps:wsp>
                        <wps:cNvSpPr txBox="1"/>
                        <wps:spPr>
                          <a:xfrm>
                            <a:off x="2759040" y="622800"/>
                            <a:ext cx="523800" cy="457200"/>
                          </a:xfrm>
                          <a:prstGeom prst="rect">
                            <a:avLst/>
                          </a:prstGeom>
                          <a:noFill/>
                          <a:ln w="0">
                            <a:noFill/>
                          </a:ln>
                        </wps:spPr>
                        <wps:txbx>
                          <w:txbxContent>
                            <w:p>
                              <w:pPr>
                                <w:overflowPunct w:val="false"/>
                                <w:bidi w:val="0"/>
                                <w:rPr/>
                              </w:pPr>
                              <w:r>
                                <w:rPr>
                                  <w:kern w:val="2"/>
                                  <w:sz w:val="48"/>
                                  <w:b/>
                                  <w:szCs w:val="20"/>
                                  <w:rFonts w:ascii="Arial" w:hAnsi="Arial" w:eastAsia="Times New Roman" w:cs="Arial"/>
                                  <w:color w:val="000000"/>
                                  <w:lang w:val="en-US" w:eastAsia="en-US"/>
                                </w:rPr>
                                <w:t>A*</w:t>
                              </w:r>
                            </w:p>
                          </w:txbxContent>
                        </wps:txbx>
                        <wps:bodyPr wrap="square" anchor="ctr">
                          <a:noAutofit/>
                        </wps:bodyPr>
                      </wps:wsp>
                      <wps:wsp>
                        <wps:cNvSpPr txBox="1"/>
                        <wps:spPr>
                          <a:xfrm>
                            <a:off x="2759040" y="1537200"/>
                            <a:ext cx="523800" cy="457200"/>
                          </a:xfrm>
                          <a:prstGeom prst="rect">
                            <a:avLst/>
                          </a:prstGeom>
                          <a:noFill/>
                          <a:ln w="0">
                            <a:noFill/>
                          </a:ln>
                        </wps:spPr>
                        <wps:txbx>
                          <w:txbxContent>
                            <w:p>
                              <w:pPr>
                                <w:overflowPunct w:val="false"/>
                                <w:bidi w:val="0"/>
                                <w:rPr/>
                              </w:pPr>
                              <w:r>
                                <w:rPr>
                                  <w:kern w:val="2"/>
                                  <w:sz w:val="48"/>
                                  <w:b/>
                                  <w:szCs w:val="20"/>
                                  <w:rFonts w:ascii="Arial" w:hAnsi="Arial" w:eastAsia="Times New Roman" w:cs="Arial"/>
                                  <w:color w:val="000000"/>
                                  <w:lang w:val="en-US" w:eastAsia="en-US"/>
                                </w:rPr>
                                <w:t>B*</w:t>
                              </w:r>
                            </w:p>
                          </w:txbxContent>
                        </wps:txbx>
                        <wps:bodyPr wrap="square" anchor="ctr">
                          <a:noAutofit/>
                        </wps:bodyPr>
                      </wps:wsp>
                      <wps:wsp>
                        <wps:cNvSpPr/>
                        <wps:spPr>
                          <a:xfrm>
                            <a:off x="1078920" y="1086480"/>
                            <a:ext cx="146052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1418040" y="946080"/>
                            <a:ext cx="731520" cy="244440"/>
                          </a:xfrm>
                          <a:prstGeom prst="rect">
                            <a:avLst/>
                          </a:prstGeom>
                          <a:solidFill>
                            <a:srgbClr val="ffffff"/>
                          </a:solidFill>
                          <a:ln w="0">
                            <a:noFill/>
                          </a:ln>
                        </wps:spPr>
                        <wps:txbx>
                          <w:txbxContent>
                            <w:p>
                              <w:pPr>
                                <w:overflowPunct w:val="false"/>
                                <w:bidi w:val="0"/>
                                <w:jc w:val="center"/>
                                <w:rPr/>
                              </w:pPr>
                              <w:r>
                                <w:rPr>
                                  <w:kern w:val="2"/>
                                  <w:sz w:val="16"/>
                                  <w:szCs w:val="20"/>
                                  <w:rFonts w:ascii="Arial" w:hAnsi="Arial" w:eastAsia="Times New Roman" w:cs="Arial"/>
                                  <w:color w:val="000000"/>
                                  <w:lang w:val="en-US" w:eastAsia="en-US"/>
                                </w:rPr>
                                <w:t>TTC x SP</w:t>
                              </w:r>
                            </w:p>
                          </w:txbxContent>
                        </wps:txbx>
                        <wps:bodyPr wrap="square" anchor="ctr">
                          <a:noAutofit/>
                        </wps:bodyPr>
                      </wps:wsp>
                    </wpg:wgp>
                  </a:graphicData>
                </a:graphic>
              </wp:anchor>
            </w:drawing>
          </mc:Choice>
          <mc:Fallback>
            <w:pict>
              <v:group id="shape_0" style="position:absolute;margin-left:0pt;margin-top:0pt;width:281.65pt;height:193pt" coordorigin="0,0" coordsize="5633,3860">
                <v:rect id="shape_0" fillcolor="silver" stroked="t" o:allowincell="f" style="position:absolute;left:464;top:696;width:1096;height:2674;mso-wrap-style:none;v-text-anchor:middle;mso-position-horizontal-relative:margin;mso-position-vertical-relative:margin">
                  <v:fill o:detectmouseclick="t" type="solid" color2="#3f3f3f"/>
                  <v:stroke color="black" weight="9360" joinstyle="miter" endcap="flat"/>
                  <w10:wrap type="topAndBottom"/>
                </v:rect>
                <v:rect id="shape_0" fillcolor="#00cc99" stroked="t" o:allowincell="f" style="position:absolute;left:464;top:1701;width:1096;height:2159;mso-wrap-style:none;v-text-anchor:middle;mso-position-horizontal-relative:margin;mso-position-vertical-relative:margin">
                  <v:fill o:detectmouseclick="t" type="solid" color2="#ff3366"/>
                  <v:stroke color="black" weight="9360" joinstyle="miter" endcap="flat"/>
                  <w10:wrap type="topAndBottom"/>
                </v:rect>
                <v:line id="shape_0" from="1681,741" to="3980,741" stroked="t" o:allowincell="f" style="position:absolute;mso-position-horizontal-relative:margin;mso-position-vertical-relative:margin">
                  <v:stroke color="black" weight="9360" startarrow="block" endarrow="block" startarrowwidth="medium" startarrowlength="medium" endarrowwidth="medium" endarrowlength="medium" joinstyle="miter" endcap="flat"/>
                  <v:fill o:detectmouseclick="t" on="false"/>
                  <w10:wrap type="topAndBottom"/>
                </v:line>
                <v:shapetype id="_x0000_t202" coordsize="21600,21600" o:spt="202" path="m,l,21600l21600,21600l21600,xe">
                  <v:stroke joinstyle="miter"/>
                  <v:path gradientshapeok="t" o:connecttype="rect"/>
                </v:shapetype>
                <v:shape id="shape_0" fillcolor="white" stroked="f" o:allowincell="f" style="position:absolute;left:2183;top:398;width:1226;height:624;mso-wrap-style:none;v-text-anchor:middle;mso-position-horizontal-relative:margin;mso-position-vertical-relative:margin" type="_x0000_t202">
                  <v:textbox>
                    <w:txbxContent>
                      <w:p>
                        <w:pPr>
                          <w:overflowPunct w:val="false"/>
                          <w:bidi w:val="0"/>
                          <w:jc w:val="center"/>
                          <w:rPr/>
                        </w:pPr>
                        <w:r>
                          <w:rPr>
                            <w:kern w:val="2"/>
                            <w:sz w:val="16"/>
                            <w:szCs w:val="20"/>
                            <w:rFonts w:ascii="Arial" w:hAnsi="Arial" w:eastAsia="Times New Roman" w:cs="Arial"/>
                            <w:color w:val="000000"/>
                            <w:lang w:val="en-US" w:eastAsia="en-US"/>
                          </w:rPr>
                          <w:t>Scheduled</w:t>
                        </w:r>
                      </w:p>
                      <w:p>
                        <w:pPr>
                          <w:overflowPunct w:val="false"/>
                          <w:bidi w:val="0"/>
                          <w:jc w:val="center"/>
                          <w:rPr/>
                        </w:pPr>
                        <w:r>
                          <w:rPr>
                            <w:kern w:val="2"/>
                            <w:sz w:val="16"/>
                            <w:szCs w:val="20"/>
                            <w:rFonts w:ascii="Arial" w:hAnsi="Arial" w:eastAsia="Times New Roman" w:cs="Arial"/>
                            <w:color w:val="000000"/>
                            <w:lang w:val="en-US" w:eastAsia="en-US"/>
                          </w:rPr>
                          <w:t>Impact x SP</w:t>
                        </w:r>
                      </w:p>
                    </w:txbxContent>
                  </v:textbox>
                  <v:fill o:detectmouseclick="t" type="solid" color2="black"/>
                  <v:stroke color="#3465a4" joinstyle="round" endcap="flat"/>
                  <w10:wrap type="topAndBottom"/>
                </v:shape>
                <v:shape id="shape_0" stroked="f" o:allowincell="f" style="position:absolute;left:721;top:981;width:637;height:719;mso-wrap-style:none;v-text-anchor:middle;mso-position-horizontal-relative:margin;mso-position-vertical-relative:margin" type="_x0000_t202">
                  <v:textbox>
                    <w:txbxContent>
                      <w:p>
                        <w:pPr>
                          <w:overflowPunct w:val="false"/>
                          <w:bidi w:val="0"/>
                          <w:rPr/>
                        </w:pPr>
                        <w:r>
                          <w:rPr>
                            <w:kern w:val="2"/>
                            <w:sz w:val="48"/>
                            <w:b/>
                            <w:szCs w:val="20"/>
                            <w:rFonts w:ascii="Arial" w:hAnsi="Arial" w:eastAsia="Times New Roman" w:cs="Arial"/>
                            <w:color w:val="000000"/>
                            <w:lang w:val="en-US" w:eastAsia="en-US"/>
                          </w:rPr>
                          <w:t>A</w:t>
                        </w:r>
                      </w:p>
                    </w:txbxContent>
                  </v:textbox>
                  <v:fill o:detectmouseclick="t" on="false"/>
                  <v:stroke color="#3465a4" joinstyle="round" endcap="flat"/>
                  <w10:wrap type="topAndBottom"/>
                </v:shape>
                <v:shape id="shape_0" stroked="f" o:allowincell="f" style="position:absolute;left:721;top:2421;width:637;height:719;mso-wrap-style:none;v-text-anchor:middle;mso-position-horizontal-relative:margin;mso-position-vertical-relative:margin" type="_x0000_t202">
                  <v:textbox>
                    <w:txbxContent>
                      <w:p>
                        <w:pPr>
                          <w:overflowPunct w:val="false"/>
                          <w:bidi w:val="0"/>
                          <w:rPr/>
                        </w:pPr>
                        <w:r>
                          <w:rPr>
                            <w:kern w:val="2"/>
                            <w:sz w:val="48"/>
                            <w:b/>
                            <w:szCs w:val="20"/>
                            <w:rFonts w:ascii="Arial" w:hAnsi="Arial" w:eastAsia="Times New Roman" w:cs="Arial"/>
                            <w:color w:val="000000"/>
                            <w:lang w:val="en-US" w:eastAsia="en-US"/>
                          </w:rPr>
                          <w:t>B</w:t>
                        </w:r>
                      </w:p>
                    </w:txbxContent>
                  </v:textbox>
                  <v:fill o:detectmouseclick="t" on="false"/>
                  <v:stroke color="#3465a4" joinstyle="round" endcap="flat"/>
                  <w10:wrap type="topAndBottom"/>
                </v:shape>
                <v:shape id="shape_0" stroked="f" o:allowincell="f" style="position:absolute;left:0;top:20;width:2023;height:432;mso-wrap-style:none;v-text-anchor:middle;mso-position-horizontal-relative:margin;mso-position-vertical-relative:margin" type="_x0000_t202">
                  <v:textbox>
                    <w:txbxContent>
                      <w:p>
                        <w:pPr>
                          <w:overflowPunct w:val="false"/>
                          <w:bidi w:val="0"/>
                          <w:rPr/>
                        </w:pPr>
                        <w:r>
                          <w:rPr>
                            <w:kern w:val="2"/>
                            <w:sz w:val="24"/>
                            <w:b/>
                            <w:u w:val="single"/>
                            <w:szCs w:val="20"/>
                            <w:rFonts w:ascii="Arial" w:hAnsi="Arial" w:eastAsia="Times New Roman" w:cs="Arial"/>
                            <w:color w:val="000000"/>
                            <w:lang w:val="en-US" w:eastAsia="en-US"/>
                          </w:rPr>
                          <w:t>Postage Stamp</w:t>
                        </w:r>
                      </w:p>
                    </w:txbxContent>
                  </v:textbox>
                  <v:fill o:detectmouseclick="t" on="false"/>
                  <v:stroke color="#3465a4" joinstyle="round" endcap="flat"/>
                  <w10:wrap type="topAndBottom"/>
                </v:shape>
                <v:shape id="shape_0" stroked="f" o:allowincell="f" style="position:absolute;left:3778;top:0;width:1854;height:432;mso-wrap-style:none;v-text-anchor:middle;mso-position-horizontal-relative:margin;mso-position-vertical-relative:margin" type="_x0000_t202">
                  <v:textbox>
                    <w:txbxContent>
                      <w:p>
                        <w:pPr>
                          <w:overflowPunct w:val="false"/>
                          <w:bidi w:val="0"/>
                          <w:rPr/>
                        </w:pPr>
                        <w:r>
                          <w:rPr>
                            <w:kern w:val="2"/>
                            <w:sz w:val="24"/>
                            <w:b/>
                            <w:u w:val="single"/>
                            <w:szCs w:val="20"/>
                            <w:rFonts w:ascii="Arial" w:hAnsi="Arial" w:eastAsia="Times New Roman" w:cs="Arial"/>
                            <w:color w:val="000000"/>
                            <w:lang w:val="en-US" w:eastAsia="en-US"/>
                          </w:rPr>
                          <w:t>Zonal Method</w:t>
                        </w:r>
                      </w:p>
                    </w:txbxContent>
                  </v:textbox>
                  <v:fill o:detectmouseclick="t" on="false"/>
                  <v:stroke color="#3465a4" joinstyle="round" endcap="flat"/>
                  <w10:wrap type="topAndBottom"/>
                </v:shape>
                <v:rect id="shape_0" fillcolor="silver" stroked="t" o:allowincell="f" style="position:absolute;left:4089;top:696;width:1096;height:2674;mso-wrap-style:none;v-text-anchor:middle;mso-position-horizontal-relative:margin;mso-position-vertical-relative:margin">
                  <v:fill o:detectmouseclick="t" type="solid" color2="#3f3f3f"/>
                  <v:stroke color="black" weight="9360" joinstyle="miter" endcap="flat"/>
                  <w10:wrap type="topAndBottom"/>
                </v:rect>
                <v:rect id="shape_0" fillcolor="#00cc99" stroked="t" o:allowincell="f" style="position:absolute;left:4089;top:1701;width:1096;height:2159;mso-wrap-style:none;v-text-anchor:middle;mso-position-horizontal-relative:margin;mso-position-vertical-relative:margin">
                  <v:fill o:detectmouseclick="t" type="solid" color2="#ff3366"/>
                  <v:stroke color="black" weight="9360" joinstyle="miter" endcap="flat"/>
                  <w10:wrap type="topAndBottom"/>
                </v:rect>
                <v:shape id="shape_0" stroked="f" o:allowincell="f" style="position:absolute;left:4345;top:981;width:824;height:719;mso-wrap-style:none;v-text-anchor:middle;mso-position-horizontal-relative:margin;mso-position-vertical-relative:margin" type="_x0000_t202">
                  <v:textbox>
                    <w:txbxContent>
                      <w:p>
                        <w:pPr>
                          <w:overflowPunct w:val="false"/>
                          <w:bidi w:val="0"/>
                          <w:rPr/>
                        </w:pPr>
                        <w:r>
                          <w:rPr>
                            <w:kern w:val="2"/>
                            <w:sz w:val="48"/>
                            <w:b/>
                            <w:szCs w:val="20"/>
                            <w:rFonts w:ascii="Arial" w:hAnsi="Arial" w:eastAsia="Times New Roman" w:cs="Arial"/>
                            <w:color w:val="000000"/>
                            <w:lang w:val="en-US" w:eastAsia="en-US"/>
                          </w:rPr>
                          <w:t>A*</w:t>
                        </w:r>
                      </w:p>
                    </w:txbxContent>
                  </v:textbox>
                  <v:fill o:detectmouseclick="t" on="false"/>
                  <v:stroke color="#3465a4" joinstyle="round" endcap="flat"/>
                  <w10:wrap type="topAndBottom"/>
                </v:shape>
                <v:shape id="shape_0" stroked="f" o:allowincell="f" style="position:absolute;left:4345;top:2421;width:824;height:719;mso-wrap-style:none;v-text-anchor:middle;mso-position-horizontal-relative:margin;mso-position-vertical-relative:margin" type="_x0000_t202">
                  <v:textbox>
                    <w:txbxContent>
                      <w:p>
                        <w:pPr>
                          <w:overflowPunct w:val="false"/>
                          <w:bidi w:val="0"/>
                          <w:rPr/>
                        </w:pPr>
                        <w:r>
                          <w:rPr>
                            <w:kern w:val="2"/>
                            <w:sz w:val="48"/>
                            <w:b/>
                            <w:szCs w:val="20"/>
                            <w:rFonts w:ascii="Arial" w:hAnsi="Arial" w:eastAsia="Times New Roman" w:cs="Arial"/>
                            <w:color w:val="000000"/>
                            <w:lang w:val="en-US" w:eastAsia="en-US"/>
                          </w:rPr>
                          <w:t>B*</w:t>
                        </w:r>
                      </w:p>
                    </w:txbxContent>
                  </v:textbox>
                  <v:fill o:detectmouseclick="t" on="false"/>
                  <v:stroke color="#3465a4" joinstyle="round" endcap="flat"/>
                  <w10:wrap type="topAndBottom"/>
                </v:shape>
                <v:line id="shape_0" from="1699,1711" to="3998,1711" stroked="t" o:allowincell="f" style="position:absolute;mso-position-horizontal-relative:margin;mso-position-vertical-relative:margin">
                  <v:stroke color="black" weight="9360" startarrow="block" endarrow="block" startarrowwidth="medium" startarrowlength="medium" endarrowwidth="medium" endarrowlength="medium" joinstyle="miter" endcap="flat"/>
                  <v:fill o:detectmouseclick="t" on="false"/>
                  <w10:wrap type="topAndBottom"/>
                </v:line>
                <v:shape id="shape_0" fillcolor="white" stroked="f" o:allowincell="f" style="position:absolute;left:2233;top:1490;width:1151;height:384;mso-wrap-style:none;v-text-anchor:middle;mso-position-horizontal-relative:margin;mso-position-vertical-relative:margin" type="_x0000_t202">
                  <v:textbox>
                    <w:txbxContent>
                      <w:p>
                        <w:pPr>
                          <w:overflowPunct w:val="false"/>
                          <w:bidi w:val="0"/>
                          <w:jc w:val="center"/>
                          <w:rPr/>
                        </w:pPr>
                        <w:r>
                          <w:rPr>
                            <w:kern w:val="2"/>
                            <w:sz w:val="16"/>
                            <w:szCs w:val="20"/>
                            <w:rFonts w:ascii="Arial" w:hAnsi="Arial" w:eastAsia="Times New Roman" w:cs="Arial"/>
                            <w:color w:val="000000"/>
                            <w:lang w:val="en-US" w:eastAsia="en-US"/>
                          </w:rPr>
                          <w:t>TTC x SP</w:t>
                        </w:r>
                      </w:p>
                    </w:txbxContent>
                  </v:textbox>
                  <v:fill o:detectmouseclick="t" type="solid" color2="black"/>
                  <v:stroke color="#3465a4" joinstyle="round" endcap="flat"/>
                  <w10:wrap type="topAndBottom"/>
                </v:shape>
              </v:group>
            </w:pict>
          </mc:Fallback>
        </mc:AlternateContent>
      </w:r>
    </w:p>
    <w:p>
      <w:pPr>
        <w:pStyle w:val="Caption"/>
        <w:rPr/>
      </w:pPr>
      <w:r>
        <w:rPr>
          <w:rFonts w:cs="Times New Roman" w:ascii="Times New Roman" w:hAnsi="Times New Roman"/>
          <w:sz w:val="24"/>
        </w:rPr>
        <w:t xml:space="preserve">Figure </w:t>
      </w:r>
      <w:r>
        <w:rPr>
          <w:rFonts w:cs="Times New Roman" w:ascii="Times New Roman" w:hAnsi="Times New Roman"/>
          <w:sz w:val="24"/>
        </w:rPr>
        <w:fldChar w:fldCharType="begin"/>
      </w:r>
      <w:r>
        <w:rPr>
          <w:sz w:val="24"/>
          <w:rFonts w:cs="Times New Roman" w:ascii="Times New Roman" w:hAnsi="Times New Roman"/>
        </w:rPr>
        <w:instrText xml:space="preserve"> SEQ Figure \* ARABIC </w:instrText>
      </w:r>
      <w:r>
        <w:rPr>
          <w:sz w:val="24"/>
          <w:rFonts w:cs="Times New Roman" w:ascii="Times New Roman" w:hAnsi="Times New Roman"/>
        </w:rPr>
        <w:fldChar w:fldCharType="separate"/>
      </w:r>
      <w:r>
        <w:rPr>
          <w:sz w:val="24"/>
          <w:rFonts w:cs="Times New Roman" w:ascii="Times New Roman" w:hAnsi="Times New Roman"/>
        </w:rPr>
        <w:t>1</w:t>
      </w:r>
      <w:r>
        <w:rPr>
          <w:sz w:val="24"/>
          <w:rFonts w:cs="Times New Roman" w:ascii="Times New Roman" w:hAnsi="Times New Roman"/>
        </w:rPr>
        <w:fldChar w:fldCharType="end"/>
      </w:r>
      <w:r>
        <w:rPr>
          <w:rFonts w:cs="Times New Roman" w:ascii="Times New Roman" w:hAnsi="Times New Roman"/>
          <w:sz w:val="24"/>
        </w:rPr>
        <w:t xml:space="preserve"> </w:t>
      </w:r>
    </w:p>
    <w:p>
      <w:pPr>
        <w:pStyle w:val="Response"/>
        <w:rPr>
          <w:rFonts w:ascii="Times New Roman" w:hAnsi="Times New Roman" w:cs="Times New Roman"/>
          <w:sz w:val="24"/>
        </w:rPr>
      </w:pPr>
      <w:r>
        <w:rPr>
          <w:rFonts w:cs="Times New Roman" w:ascii="Times New Roman" w:hAnsi="Times New Roman"/>
          <w:sz w:val="24"/>
        </w:rPr>
      </w:r>
    </w:p>
    <w:p>
      <w:pPr>
        <w:pStyle w:val="Response"/>
        <w:rPr/>
      </w:pPr>
      <w:r>
        <w:rPr>
          <w:rFonts w:cs="Times New Roman" w:ascii="Times New Roman" w:hAnsi="Times New Roman"/>
          <w:sz w:val="24"/>
        </w:rPr>
        <w:t xml:space="preserve">Thus, as currently written, the tracking equations only track </w:t>
      </w:r>
      <w:r>
        <w:rPr>
          <w:rFonts w:cs="Times New Roman" w:ascii="Times New Roman" w:hAnsi="Times New Roman"/>
          <w:b/>
          <w:sz w:val="24"/>
        </w:rPr>
        <w:t>Area A</w:t>
      </w:r>
      <w:r>
        <w:rPr>
          <w:rFonts w:cs="Times New Roman" w:ascii="Times New Roman" w:hAnsi="Times New Roman"/>
          <w:sz w:val="24"/>
        </w:rPr>
        <w:t xml:space="preserve"> under the postage stamp method.  However, if the zonal method were in place, nonusers of the constrained interface would not only avoid paying the cost associated with </w:t>
      </w:r>
      <w:r>
        <w:rPr>
          <w:rFonts w:cs="Times New Roman" w:ascii="Times New Roman" w:hAnsi="Times New Roman"/>
          <w:b/>
          <w:sz w:val="24"/>
        </w:rPr>
        <w:t>Area A*</w:t>
      </w:r>
      <w:r>
        <w:rPr>
          <w:rFonts w:cs="Times New Roman" w:ascii="Times New Roman" w:hAnsi="Times New Roman"/>
          <w:sz w:val="24"/>
        </w:rPr>
        <w:t xml:space="preserve">, but would also receive the benefit of the revenues associated with </w:t>
      </w:r>
      <w:r>
        <w:rPr>
          <w:rFonts w:cs="Times New Roman" w:ascii="Times New Roman" w:hAnsi="Times New Roman"/>
          <w:b/>
          <w:sz w:val="24"/>
        </w:rPr>
        <w:t>Area B*</w:t>
      </w:r>
      <w:r>
        <w:rPr>
          <w:rFonts w:cs="Times New Roman" w:ascii="Times New Roman" w:hAnsi="Times New Roman"/>
          <w:sz w:val="24"/>
        </w:rPr>
        <w:t xml:space="preserve">.  Under the zonal method, users of the constrained interface would pay </w:t>
      </w:r>
      <w:r>
        <w:rPr>
          <w:rFonts w:cs="Times New Roman" w:ascii="Times New Roman" w:hAnsi="Times New Roman"/>
          <w:b/>
          <w:sz w:val="24"/>
        </w:rPr>
        <w:t>Area A*</w:t>
      </w:r>
      <w:r>
        <w:rPr>
          <w:rFonts w:cs="Times New Roman" w:ascii="Times New Roman" w:hAnsi="Times New Roman"/>
          <w:sz w:val="24"/>
        </w:rPr>
        <w:t xml:space="preserve"> plus </w:t>
      </w:r>
      <w:r>
        <w:rPr>
          <w:rFonts w:cs="Times New Roman" w:ascii="Times New Roman" w:hAnsi="Times New Roman"/>
          <w:b/>
          <w:sz w:val="24"/>
        </w:rPr>
        <w:t>Area B*</w:t>
      </w:r>
      <w:r>
        <w:rPr>
          <w:rFonts w:cs="Times New Roman" w:ascii="Times New Roman" w:hAnsi="Times New Roman"/>
          <w:sz w:val="24"/>
        </w:rPr>
        <w:t xml:space="preserve">, which represent the total value of the CSC.  As such, the tracking equations should also track the total value of the CSC—that is </w:t>
      </w:r>
      <w:r>
        <w:rPr>
          <w:rFonts w:cs="Times New Roman" w:ascii="Times New Roman" w:hAnsi="Times New Roman"/>
          <w:b/>
          <w:sz w:val="24"/>
        </w:rPr>
        <w:t>Area A</w:t>
      </w:r>
      <w:r>
        <w:rPr>
          <w:rFonts w:cs="Times New Roman" w:ascii="Times New Roman" w:hAnsi="Times New Roman"/>
          <w:sz w:val="24"/>
        </w:rPr>
        <w:t xml:space="preserve"> plus </w:t>
      </w:r>
      <w:r>
        <w:rPr>
          <w:rFonts w:cs="Times New Roman" w:ascii="Times New Roman" w:hAnsi="Times New Roman"/>
          <w:b/>
          <w:sz w:val="24"/>
        </w:rPr>
        <w:t>Area B</w:t>
      </w:r>
      <w:r>
        <w:rPr>
          <w:rFonts w:cs="Times New Roman" w:ascii="Times New Roman" w:hAnsi="Times New Roman"/>
          <w:sz w:val="24"/>
        </w:rPr>
        <w:t xml:space="preserve">.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The failure to recognize the total value of the CSCs during the interim postage stamp period and appropriately reflect it in the tracking equations will serve to unduly prolong the existence of perverse market incentives and an inappropriate accrual of wealth and competitive advantage to certain market participants relative to a more rational pricing system whereby the constrained interfaces are used by those that value them the most.  The control of these outcomes was at the heart of the establishment of the $20 million threshold.  Although difficult to estimate, if the tracking equations remain unchanged, the total value of transferred wealth due to the existence of improper price signals could easily rise into the hundreds of million dollars per year, and is certainly much greater than the $20 million threshold.  In addition, the behavior induced by the prolonged existence of such improper price signals could influence decisions to add otherwise unnecessary transmission infrastructure.</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For the reasons stated, CPS proposes that the equations in Sections 7.3.3.2 and 7.3.3.3.1 be modified to replace the term TTC with a value of zero (0).  These changes should be incorporated into the Protocols and the ERCOT system design prior to June 1, 2001.</w:t>
      </w:r>
    </w:p>
    <w:p>
      <w:pPr>
        <w:pStyle w:val="Normal"/>
        <w:rPr>
          <w:rFonts w:ascii="Times New Roman" w:hAnsi="Times New Roman" w:cs="Times New Roman"/>
          <w:sz w:val="24"/>
        </w:rPr>
      </w:pPr>
      <w:r>
        <w:rPr>
          <w:rFonts w:cs="Times New Roman" w:ascii="Times New Roman" w:hAnsi="Times New Roman"/>
          <w:sz w:val="24"/>
        </w:rPr>
      </w:r>
    </w:p>
    <w:p>
      <w:pPr>
        <w:pStyle w:val="Question"/>
        <w:rPr>
          <w:rFonts w:ascii="Times New Roman" w:hAnsi="Times New Roman" w:cs="Times New Roman"/>
          <w:sz w:val="24"/>
        </w:rPr>
      </w:pPr>
      <w:r>
        <w:rPr>
          <w:rFonts w:cs="Times New Roman" w:ascii="Times New Roman" w:hAnsi="Times New Roman"/>
          <w:sz w:val="24"/>
        </w:rPr>
        <w:t>ISSUE:  CPS 7</w:t>
      </w:r>
    </w:p>
    <w:p>
      <w:pPr>
        <w:pStyle w:val="Question"/>
        <w:rPr>
          <w:rFonts w:ascii="Times New Roman" w:hAnsi="Times New Roman" w:cs="Times New Roman"/>
          <w:sz w:val="24"/>
        </w:rPr>
      </w:pPr>
      <w:r>
        <w:rPr>
          <w:rFonts w:cs="Times New Roman" w:ascii="Times New Roman" w:hAnsi="Times New Roman"/>
          <w:sz w:val="24"/>
        </w:rPr>
        <w:t>Do (and should) the Texas SET transactions defined in Section 19 of the Protocols accommodate the billing and information exchange requirements between Competitive Retailers and MOUs/Coops (or between ERCOT and MOUs/Coops), as those requirements are set forth in the Terms and Conditions of Access by Competitive Retailers to the Delivery Systems of MOUs/Coops (pending proposed rule)?</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CPS observes that, pursuant to the provisions of Sections 40.057 and 41.057 of the Public Utility Regulatory Act, municipally owned utilities and electric cooperatives that adopt customer choice may continue to bill directly electric customers located in its certificated retail service area, as that area exists on the date of adoption of customer choice, for all transmission and distribution services.  In addition, a customer that is being provided wires service by a municipally owned utility at distribution or transmission voltage and that is served by a retail electric provider for retail service has the option of being billed directly by each service provider or to receive a single bill for distribution, transmission, and generation services from the municipally owned utility.</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 xml:space="preserve">The requirements of these statutory provisions are currently reflected in the pending rule at the Commission related to the Terms and Conditions of Access by Competitive Retailers to the Delivery Systems of MOUs/Coops.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Unfortunately, these requirements have thus far been overlooked in the Texas SET development process, primarily because the Texas SET process began long before the MOU/Coop Terms and Conditions rulemaking was even initiated, and that fact that there has been little MOU/Coop participation in the Texas SET effort to date due resource constraints and the volume of activity just related to wholesale restructuring over the past two years.</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However, it is the understanding of CPS that this issue has been placed on the Texas SET agenda for discussion at their next meeting.  From our perspective, CPS believes that a process is now being established that will allow for the proper Texas SET transactions to be developed to accommodate the potential future adoption of customer choice by CPS.  However, CPS notes that other public power systems may have more imminent opt-in plans, which may or may not be affected by the fact that the Texas SET transactions necessary to accommodate the requirements of PURA §§ 40.057 and 41.057 have not yet been developed.</w:t>
      </w:r>
    </w:p>
    <w:p>
      <w:pPr>
        <w:pStyle w:val="Response"/>
        <w:rPr>
          <w:rFonts w:ascii="Times New Roman" w:hAnsi="Times New Roman" w:cs="Times New Roman"/>
          <w:sz w:val="24"/>
        </w:rPr>
      </w:pPr>
      <w:r>
        <w:rPr>
          <w:rFonts w:cs="Times New Roman" w:ascii="Times New Roman" w:hAnsi="Times New Roman"/>
          <w:sz w:val="24"/>
        </w:rPr>
      </w:r>
    </w:p>
    <w:p>
      <w:pPr>
        <w:pStyle w:val="Question"/>
        <w:rPr>
          <w:rFonts w:ascii="Times New Roman" w:hAnsi="Times New Roman" w:cs="Times New Roman"/>
          <w:sz w:val="24"/>
        </w:rPr>
      </w:pPr>
      <w:r>
        <w:rPr>
          <w:rFonts w:cs="Times New Roman" w:ascii="Times New Roman" w:hAnsi="Times New Roman"/>
          <w:sz w:val="24"/>
        </w:rPr>
        <w:t>ISSUE:  DYNEGY 1</w:t>
        <w:tab/>
      </w:r>
    </w:p>
    <w:p>
      <w:pPr>
        <w:pStyle w:val="Question"/>
        <w:rPr>
          <w:rFonts w:ascii="Times New Roman" w:hAnsi="Times New Roman" w:cs="Times New Roman"/>
          <w:sz w:val="24"/>
        </w:rPr>
      </w:pPr>
      <w:r>
        <w:rPr>
          <w:rFonts w:cs="Times New Roman" w:ascii="Times New Roman" w:hAnsi="Times New Roman"/>
          <w:sz w:val="24"/>
        </w:rPr>
        <w:t xml:space="preserve">Should utilities in Texas remain obligated to buy energy from QFs?  (This is not addressed in the Protocols.)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See response to AES DEEPWATER 1.</w:t>
      </w:r>
    </w:p>
    <w:p>
      <w:pPr>
        <w:pStyle w:val="Normal"/>
        <w:rPr>
          <w:rFonts w:ascii="Times New Roman" w:hAnsi="Times New Roman" w:cs="Times New Roman"/>
          <w:sz w:val="24"/>
        </w:rPr>
      </w:pPr>
      <w:r>
        <w:rPr>
          <w:rFonts w:cs="Times New Roman" w:ascii="Times New Roman" w:hAnsi="Times New Roman"/>
          <w:sz w:val="24"/>
        </w:rPr>
        <w:tab/>
        <w:tab/>
        <w:tab/>
        <w:tab/>
      </w:r>
    </w:p>
    <w:p>
      <w:pPr>
        <w:pStyle w:val="Question"/>
        <w:rPr>
          <w:rFonts w:ascii="Times New Roman" w:hAnsi="Times New Roman" w:cs="Times New Roman"/>
          <w:sz w:val="24"/>
        </w:rPr>
      </w:pPr>
      <w:r>
        <w:rPr>
          <w:rFonts w:cs="Times New Roman" w:ascii="Times New Roman" w:hAnsi="Times New Roman"/>
          <w:sz w:val="24"/>
        </w:rPr>
        <w:t>ISSUE:  DYNEGY 5</w:t>
        <w:tab/>
      </w:r>
    </w:p>
    <w:p>
      <w:pPr>
        <w:pStyle w:val="Question"/>
        <w:rPr>
          <w:rFonts w:ascii="Times New Roman" w:hAnsi="Times New Roman" w:cs="Times New Roman"/>
          <w:sz w:val="24"/>
        </w:rPr>
      </w:pPr>
      <w:r>
        <w:rPr>
          <w:rFonts w:cs="Times New Roman" w:ascii="Times New Roman" w:hAnsi="Times New Roman"/>
          <w:sz w:val="24"/>
        </w:rPr>
        <w:t xml:space="preserve">Should generators receive explicit compensation for reactive power supply?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See response to CALPINE 1.</w:t>
      </w:r>
    </w:p>
    <w:p>
      <w:pPr>
        <w:pStyle w:val="Normal"/>
        <w:rPr>
          <w:rFonts w:ascii="Times New Roman" w:hAnsi="Times New Roman" w:cs="Times New Roman"/>
          <w:sz w:val="24"/>
        </w:rPr>
      </w:pPr>
      <w:r>
        <w:rPr>
          <w:rFonts w:cs="Times New Roman" w:ascii="Times New Roman" w:hAnsi="Times New Roman"/>
          <w:sz w:val="24"/>
        </w:rPr>
      </w:r>
    </w:p>
    <w:p>
      <w:pPr>
        <w:pStyle w:val="Question"/>
        <w:rPr>
          <w:rFonts w:ascii="Times New Roman" w:hAnsi="Times New Roman" w:cs="Times New Roman"/>
          <w:sz w:val="24"/>
        </w:rPr>
      </w:pPr>
      <w:r>
        <w:rPr>
          <w:rFonts w:cs="Times New Roman" w:ascii="Times New Roman" w:hAnsi="Times New Roman"/>
          <w:sz w:val="24"/>
        </w:rPr>
        <w:t>ISSUE:  IM 2B</w:t>
        <w:tab/>
      </w:r>
    </w:p>
    <w:p>
      <w:pPr>
        <w:pStyle w:val="Question"/>
        <w:rPr>
          <w:rFonts w:ascii="Times New Roman" w:hAnsi="Times New Roman" w:cs="Times New Roman"/>
          <w:sz w:val="24"/>
        </w:rPr>
      </w:pPr>
      <w:r>
        <w:rPr>
          <w:rFonts w:cs="Times New Roman" w:ascii="Times New Roman" w:hAnsi="Times New Roman"/>
          <w:sz w:val="24"/>
        </w:rPr>
        <w:t>Is the treatment of the MOUs and the electric coops with regard to pre-assigned TCRs discriminatory and will it deprive other market participants from purchasing certain TCRs?</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The treatment of opt-out MOUs and electric coops (Non-Opt In Entities, or NOIEs) regarding pre-assigned TCRs is not unreasonably discriminatory, in that the market participants that are eligible for pre-assigned TCRs will not be similarly situated in the market as those that are ineligible.  The fundamental basis for the existence of pre-assigned TCRs is the same basis upon which the existing transmission rules provide a distinction among planned and unplanned transmission service.  That distinction is a native load with an obligation to serve at the cost of service.  Under the current rules, planned transmission service receives priority over unplanned transmission service with respect to redispatch.  This situation is analogous to the existence of pre-assigned TCRs, with the difference being that a large percentage of the market participants will not have a native load with an obligation to serve as the cost of service.  However, NOIEs will maintain these obligations, just as they do today.  For this reason, NOIEs should be afforded the same treatment under the new market rules as exist under the current rules, which is appropriately reflected by the existence of pre-assigned TCRs.</w:t>
      </w:r>
    </w:p>
    <w:p>
      <w:pPr>
        <w:pStyle w:val="Response"/>
        <w:rPr>
          <w:rFonts w:ascii="Times New Roman" w:hAnsi="Times New Roman" w:cs="Times New Roman"/>
          <w:sz w:val="24"/>
        </w:rPr>
      </w:pPr>
      <w:r>
        <w:rPr>
          <w:rFonts w:cs="Times New Roman" w:ascii="Times New Roman" w:hAnsi="Times New Roman"/>
          <w:sz w:val="24"/>
        </w:rPr>
        <w:tab/>
        <w:tab/>
        <w:tab/>
      </w:r>
    </w:p>
    <w:p>
      <w:pPr>
        <w:pStyle w:val="Question"/>
        <w:rPr>
          <w:rFonts w:ascii="Times New Roman" w:hAnsi="Times New Roman" w:cs="Times New Roman"/>
          <w:sz w:val="24"/>
        </w:rPr>
      </w:pPr>
      <w:r>
        <w:rPr>
          <w:rFonts w:cs="Times New Roman" w:ascii="Times New Roman" w:hAnsi="Times New Roman"/>
          <w:sz w:val="24"/>
        </w:rPr>
        <w:t>ISSUE:  NUCOR 6</w:t>
        <w:tab/>
      </w:r>
    </w:p>
    <w:p>
      <w:pPr>
        <w:pStyle w:val="Question"/>
        <w:rPr>
          <w:rFonts w:ascii="Times New Roman" w:hAnsi="Times New Roman" w:cs="Times New Roman"/>
          <w:sz w:val="24"/>
        </w:rPr>
      </w:pPr>
      <w:r>
        <w:rPr>
          <w:rFonts w:cs="Times New Roman" w:ascii="Times New Roman" w:hAnsi="Times New Roman"/>
          <w:sz w:val="24"/>
        </w:rPr>
        <w:t xml:space="preserve">Should the settlement interval in Section 9 for determining the 4-CP billing determinant for transmission access require hourly demands instead of 15 minute demand intervals?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See response to CPS-1.</w:t>
      </w:r>
    </w:p>
    <w:p>
      <w:pPr>
        <w:pStyle w:val="Normal"/>
        <w:rPr>
          <w:rFonts w:ascii="Times New Roman" w:hAnsi="Times New Roman" w:cs="Times New Roman"/>
          <w:sz w:val="24"/>
        </w:rPr>
      </w:pPr>
      <w:r>
        <w:rPr>
          <w:rFonts w:cs="Times New Roman" w:ascii="Times New Roman" w:hAnsi="Times New Roman"/>
          <w:sz w:val="24"/>
        </w:rPr>
        <w:tab/>
        <w:tab/>
      </w:r>
    </w:p>
    <w:p>
      <w:pPr>
        <w:pStyle w:val="Question"/>
        <w:rPr>
          <w:rFonts w:ascii="Times New Roman" w:hAnsi="Times New Roman" w:cs="Times New Roman"/>
          <w:sz w:val="24"/>
        </w:rPr>
      </w:pPr>
      <w:r>
        <w:rPr>
          <w:rFonts w:cs="Times New Roman" w:ascii="Times New Roman" w:hAnsi="Times New Roman"/>
          <w:sz w:val="24"/>
        </w:rPr>
        <w:t>ISSUE:  STEC 1A</w:t>
        <w:tab/>
      </w:r>
    </w:p>
    <w:p>
      <w:pPr>
        <w:pStyle w:val="Question"/>
        <w:rPr>
          <w:rFonts w:ascii="Times New Roman" w:hAnsi="Times New Roman" w:cs="Times New Roman"/>
          <w:sz w:val="24"/>
        </w:rPr>
      </w:pPr>
      <w:r>
        <w:rPr>
          <w:rFonts w:cs="Times New Roman" w:ascii="Times New Roman" w:hAnsi="Times New Roman"/>
          <w:sz w:val="24"/>
        </w:rPr>
        <w:t xml:space="preserve">Is the application of the $20 million cap on the interim postage stamp allocation method occur during 2001 and is the amount of the cap correct?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The tracking of the $20 million cap will commence with single control area operation on June 1, 2001.  Regarding the correctness of the cap, see response to CPS-6.</w:t>
      </w:r>
    </w:p>
    <w:p>
      <w:pPr>
        <w:pStyle w:val="Normal"/>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ab/>
        <w:tab/>
        <w:tab/>
        <w:tab/>
      </w:r>
    </w:p>
    <w:p>
      <w:pPr>
        <w:pStyle w:val="Question"/>
        <w:rPr>
          <w:rFonts w:ascii="Times New Roman" w:hAnsi="Times New Roman" w:cs="Times New Roman"/>
          <w:sz w:val="24"/>
        </w:rPr>
      </w:pPr>
      <w:r>
        <w:rPr>
          <w:rFonts w:cs="Times New Roman" w:ascii="Times New Roman" w:hAnsi="Times New Roman"/>
          <w:sz w:val="24"/>
        </w:rPr>
        <w:t>ISSUE:  STEC 1B</w:t>
        <w:tab/>
      </w:r>
    </w:p>
    <w:p>
      <w:pPr>
        <w:pStyle w:val="Question"/>
        <w:rPr>
          <w:rFonts w:ascii="Times New Roman" w:hAnsi="Times New Roman" w:cs="Times New Roman"/>
          <w:sz w:val="24"/>
        </w:rPr>
      </w:pPr>
      <w:r>
        <w:rPr>
          <w:rFonts w:cs="Times New Roman" w:ascii="Times New Roman" w:hAnsi="Times New Roman"/>
          <w:sz w:val="24"/>
        </w:rPr>
        <w:t xml:space="preserve">Should the automatic switchover from the postage stamp to the zonal methodology using TCRs be contingent upon first determining need for the switchover?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Yes; however, the need is objectively determined by the fact that either the $20 million cap has been exceeded during a rolling 12-month period or that May 1, 2004 has arrived.</w:t>
      </w:r>
    </w:p>
    <w:p>
      <w:pPr>
        <w:pStyle w:val="Normal"/>
        <w:rPr>
          <w:rFonts w:ascii="Times New Roman" w:hAnsi="Times New Roman" w:cs="Times New Roman"/>
          <w:sz w:val="24"/>
        </w:rPr>
      </w:pPr>
      <w:r>
        <w:rPr>
          <w:rFonts w:cs="Times New Roman" w:ascii="Times New Roman" w:hAnsi="Times New Roman"/>
          <w:sz w:val="24"/>
        </w:rPr>
      </w:r>
    </w:p>
    <w:p>
      <w:pPr>
        <w:pStyle w:val="Question"/>
        <w:rPr>
          <w:rFonts w:ascii="Times New Roman" w:hAnsi="Times New Roman" w:cs="Times New Roman"/>
          <w:sz w:val="24"/>
        </w:rPr>
      </w:pPr>
      <w:r>
        <w:rPr>
          <w:rFonts w:cs="Times New Roman" w:ascii="Times New Roman" w:hAnsi="Times New Roman"/>
          <w:sz w:val="24"/>
        </w:rPr>
        <w:t>ISSUE:  STEC 2</w:t>
      </w:r>
    </w:p>
    <w:p>
      <w:pPr>
        <w:pStyle w:val="Question"/>
        <w:rPr>
          <w:rFonts w:ascii="Times New Roman" w:hAnsi="Times New Roman" w:cs="Times New Roman"/>
          <w:sz w:val="24"/>
        </w:rPr>
      </w:pPr>
      <w:r>
        <w:rPr>
          <w:rFonts w:cs="Times New Roman" w:ascii="Times New Roman" w:hAnsi="Times New Roman"/>
          <w:sz w:val="24"/>
        </w:rPr>
        <w:t xml:space="preserve">Instead of setting the MCPC the highest bid price in the stack, should loads using the resource pay the average price of the bids, and the resources be paid their bid price? </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See response to PUC-4.</w:t>
      </w:r>
    </w:p>
    <w:p>
      <w:pPr>
        <w:pStyle w:val="Normal"/>
        <w:rPr>
          <w:rFonts w:ascii="Times New Roman" w:hAnsi="Times New Roman" w:cs="Times New Roman"/>
          <w:sz w:val="24"/>
        </w:rPr>
      </w:pPr>
      <w:r>
        <w:rPr>
          <w:rFonts w:cs="Times New Roman" w:ascii="Times New Roman" w:hAnsi="Times New Roman"/>
          <w:sz w:val="24"/>
        </w:rPr>
        <w:tab/>
        <w:tab/>
      </w:r>
    </w:p>
    <w:p>
      <w:pPr>
        <w:pStyle w:val="Question"/>
        <w:rPr>
          <w:rFonts w:ascii="Times New Roman" w:hAnsi="Times New Roman" w:cs="Times New Roman"/>
          <w:sz w:val="24"/>
        </w:rPr>
      </w:pPr>
      <w:r>
        <w:rPr>
          <w:rFonts w:cs="Times New Roman" w:ascii="Times New Roman" w:hAnsi="Times New Roman"/>
          <w:sz w:val="24"/>
        </w:rPr>
        <w:t>ISSUE:  TXI 1</w:t>
        <w:tab/>
      </w:r>
    </w:p>
    <w:p>
      <w:pPr>
        <w:pStyle w:val="Question"/>
        <w:rPr>
          <w:rFonts w:ascii="Times New Roman" w:hAnsi="Times New Roman" w:cs="Times New Roman"/>
          <w:sz w:val="24"/>
        </w:rPr>
      </w:pPr>
      <w:r>
        <w:rPr>
          <w:rFonts w:cs="Times New Roman" w:ascii="Times New Roman" w:hAnsi="Times New Roman"/>
          <w:sz w:val="24"/>
        </w:rPr>
        <w:t>Is there sufficiency and practical operation of market mechanisms proposed in the Protocols to permit interruptible loads to bid for and provide ancillary services (such as reserves)?</w:t>
      </w:r>
    </w:p>
    <w:p>
      <w:pPr>
        <w:pStyle w:val="Normal"/>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CPS observes that great strides have been taken to maximize the ability of loads to participate in the ERCOT ancillary service markets, and believes that the designed mechanisms as set forth in the Protocols (with the implementation of the BUL) will prove sufficient and practical for load participation.</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However, with respect to replacement reserves, CPS is concerned that the mechanisms provided may prove to be too generous.  As stated in the Protocols, loads may participate in the replacement reserve market.  Unlike other ancillary services, where providers are price-takers for energy in the balancing market, providers of replacement reserve are required to submit a bid for energy for use in the balancing market.  Thus, once selected for replacement capacity, a payment is generated, and the resource (load or generation) is used by ERCOT consistent with the placement of its bid in the balancing energy stack.</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Unlike generation resources, however, the capacity cost for a load to participate in the replacement market is essentially zero.  The load is already online and available.  Thus, under the current provisions, loads may be encouraged to bid a very low (but positive) price in the replacement reserve capacity auction to ensure selection and payment, but then bid a very, very high price in the balancing energy market such that the bid is never struck and the load is never interrupted (or if it is interrupted, it is very profitable to the load and very costly to the market).  In this situation, the capacity payment is essentially free money to the load, but the capacity is not really useful to ERCOT or to the market, at least not at the price it may cost.  This issue should also not be confused with the BUL, where loads only receive the capacity payment for non-spin if actually deployed in the balancing energy market.</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Potential solutions may be to cap the energy bid associated with replacement reserves provided by loads at some historical average value of the balancing market MCPE, or at some other predetermined level.  However, other than prohibiting loads from participating in the replacement market, CPS is really unsure at this time precisely how to address this problem.  Nonetheless, to the extent that the provisions applicable to load participation in the replacement reserve market remain in the Protocols as currently written, CPS believes that participation by loads in these markets deserves close scrutiny though market oversight efforts to ensure that these provisions are not abused.</w:t>
      </w:r>
    </w:p>
    <w:p>
      <w:pPr>
        <w:pStyle w:val="Normal"/>
        <w:rPr>
          <w:rFonts w:ascii="Times New Roman" w:hAnsi="Times New Roman" w:cs="Times New Roman"/>
          <w:sz w:val="24"/>
        </w:rPr>
      </w:pPr>
      <w:r>
        <w:rPr>
          <w:rFonts w:cs="Times New Roman" w:ascii="Times New Roman" w:hAnsi="Times New Roman"/>
          <w:sz w:val="24"/>
        </w:rPr>
        <w:tab/>
        <w:tab/>
        <w:tab/>
      </w:r>
    </w:p>
    <w:p>
      <w:pPr>
        <w:pStyle w:val="Question"/>
        <w:rPr>
          <w:rFonts w:ascii="Times New Roman" w:hAnsi="Times New Roman" w:cs="Times New Roman"/>
          <w:sz w:val="24"/>
        </w:rPr>
      </w:pPr>
      <w:r>
        <w:rPr>
          <w:rFonts w:cs="Times New Roman" w:ascii="Times New Roman" w:hAnsi="Times New Roman"/>
          <w:sz w:val="24"/>
        </w:rPr>
        <w:t>ISSUE:  TEXAS REWABLE POWER COALITION 1</w:t>
        <w:tab/>
      </w:r>
    </w:p>
    <w:p>
      <w:pPr>
        <w:pStyle w:val="Question"/>
        <w:rPr>
          <w:rFonts w:ascii="Times New Roman" w:hAnsi="Times New Roman" w:cs="Times New Roman"/>
          <w:sz w:val="24"/>
        </w:rPr>
      </w:pPr>
      <w:r>
        <w:rPr>
          <w:rFonts w:cs="Times New Roman" w:ascii="Times New Roman" w:hAnsi="Times New Roman"/>
          <w:sz w:val="24"/>
        </w:rPr>
        <w:t xml:space="preserve">Do the Protocols unfairly impose the recovery of costs of administering the REC trading program on the renewable energy generators, instead of recovering them on a broader basis from additional market participants as part of the larger ERCOT fee structure?  Should the ERCOT fee be changed to support the REC trading program? </w:t>
      </w:r>
    </w:p>
    <w:p>
      <w:pPr>
        <w:pStyle w:val="Response"/>
        <w:rPr>
          <w:rFonts w:ascii="Times New Roman" w:hAnsi="Times New Roman" w:cs="Times New Roman"/>
          <w:sz w:val="24"/>
        </w:rPr>
      </w:pPr>
      <w:r>
        <w:rPr>
          <w:rFonts w:cs="Times New Roman" w:ascii="Times New Roman" w:hAnsi="Times New Roman"/>
          <w:sz w:val="24"/>
        </w:rPr>
      </w:r>
    </w:p>
    <w:p>
      <w:pPr>
        <w:pStyle w:val="Response"/>
        <w:rPr>
          <w:rFonts w:ascii="Times New Roman" w:hAnsi="Times New Roman" w:cs="Times New Roman"/>
          <w:sz w:val="24"/>
        </w:rPr>
      </w:pPr>
      <w:r>
        <w:rPr>
          <w:rFonts w:cs="Times New Roman" w:ascii="Times New Roman" w:hAnsi="Times New Roman"/>
          <w:sz w:val="24"/>
        </w:rPr>
        <w:t>CPS supports the concept of unbundling the ERCOT fee to the greatest extent practicable to reflect in the rates charged to market participants the costs that they impose on the system.  In the case of renewable energy generators, a market mechanism exists in the REC by which the excess costs of renewable power over market prices and effectively recovered, as suggested, on a broader basis from additional market participants that are required to purchase such credits.</w:t>
      </w:r>
    </w:p>
    <w:p>
      <w:pPr>
        <w:pStyle w:val="Response"/>
        <w:rPr>
          <w:rFonts w:ascii="Times New Roman" w:hAnsi="Times New Roman" w:cs="Times New Roman"/>
          <w:sz w:val="24"/>
        </w:rPr>
      </w:pPr>
      <w:r>
        <w:rPr>
          <w:rFonts w:cs="Times New Roman" w:ascii="Times New Roman" w:hAnsi="Times New Roman"/>
          <w:sz w:val="24"/>
        </w:rPr>
      </w:r>
      <w:r>
        <w:br w:type="page"/>
      </w:r>
    </w:p>
    <w:p>
      <w:pPr>
        <w:pStyle w:val="Normal"/>
        <w:ind w:firstLine="4320" w:end="0"/>
        <w:jc w:val="both"/>
        <w:rPr>
          <w:rFonts w:ascii="Times New Roman" w:hAnsi="Times New Roman" w:cs="Times New Roman"/>
          <w:sz w:val="24"/>
        </w:rPr>
      </w:pPr>
      <w:r>
        <w:rPr>
          <w:rFonts w:cs="Times New Roman" w:ascii="Times New Roman" w:hAnsi="Times New Roman"/>
          <w:sz w:val="24"/>
        </w:rPr>
        <w:t xml:space="preserve">Respectfully submitted,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60" w:before="0" w:after="160"/>
        <w:rPr>
          <w:rFonts w:ascii="Times New Roman" w:hAnsi="Times New Roman" w:cs="Times New Roman"/>
          <w:b/>
          <w:smallCaps/>
          <w:sz w:val="24"/>
        </w:rPr>
      </w:pPr>
      <w:r>
        <w:rPr>
          <w:rFonts w:cs="Times New Roman" w:ascii="Times New Roman" w:hAnsi="Times New Roman"/>
          <w:b/>
          <w:smallCaps/>
          <w:sz w:val="24"/>
        </w:rPr>
        <w:tab/>
        <w:tab/>
        <w:tab/>
        <w:tab/>
        <w:tab/>
        <w:tab/>
        <w:t>Matthews and Branscomb, P.C.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tab/>
        <w:tab/>
        <w:tab/>
        <w:tab/>
        <w:tab/>
        <w:tab/>
      </w:r>
    </w:p>
    <w:p>
      <w:pPr>
        <w:pStyle w:val="Header"/>
        <w:tabs>
          <w:tab w:val="clear" w:pos="4680"/>
          <w:tab w:val="clear" w:pos="9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ab/>
        <w:tab/>
        <w:tab/>
        <w:tab/>
        <w:tab/>
        <w:t>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tab/>
        <w:tab/>
        <w:tab/>
        <w:tab/>
        <w:tab/>
        <w:t>W. Roger Wilson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tab/>
        <w:tab/>
        <w:tab/>
        <w:tab/>
        <w:tab/>
        <w:t>State Bar No. 21733500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tab/>
        <w:tab/>
        <w:tab/>
        <w:tab/>
        <w:tab/>
        <w:t>rwilson@mattbran.com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tab/>
        <w:tab/>
        <w:tab/>
        <w:tab/>
        <w:tab/>
        <w:t>Paul M. Gonzalez</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tab/>
        <w:tab/>
        <w:tab/>
        <w:tab/>
        <w:tab/>
        <w:t>State Bar No. 00796652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tab/>
        <w:tab/>
        <w:tab/>
        <w:tab/>
        <w:tab/>
        <w:t>gonzalez@mattbran.com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tab/>
        <w:tab/>
        <w:tab/>
        <w:tab/>
        <w:tab/>
        <w:t>112 E. Pecan, Suite 1100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tab/>
        <w:tab/>
        <w:tab/>
        <w:tab/>
        <w:tab/>
        <w:t>San Antonio, TX  78205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tab/>
        <w:tab/>
        <w:tab/>
        <w:tab/>
        <w:tab/>
        <w:t>(210) 357-9300 Telephone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tab/>
        <w:tab/>
        <w:tab/>
        <w:tab/>
        <w:tab/>
        <w:t>(210) 357-9323 Facsimile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tab/>
        <w:tab/>
        <w:tab/>
        <w:tab/>
        <w:tab/>
        <w:t>ATTORNEYS FOR INTERVENOR</w:t>
        <w:tab/>
        <w:tab/>
        <w:tab/>
        <w:tab/>
        <w:tab/>
        <w:tab/>
        <w:tab/>
        <w:t>SAN ANTONIO CITY PUBLIC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Fonts w:ascii="Times New Roman" w:hAnsi="Times New Roman" w:cs="Times New Roman"/>
          <w:sz w:val="24"/>
        </w:rPr>
      </w:pPr>
      <w:r>
        <w:rPr>
          <w:rFonts w:cs="Times New Roman" w:ascii="Times New Roman" w:hAnsi="Times New Roman"/>
          <w:sz w:val="24"/>
        </w:rPr>
      </w:r>
    </w:p>
    <w:p>
      <w:pPr>
        <w:pStyle w:val="Header"/>
        <w:tabs>
          <w:tab w:val="clear" w:pos="4680"/>
          <w:tab w:val="clear" w:pos="936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0"/>
        <w:rPr/>
      </w:pPr>
      <w:r>
        <w:rPr/>
        <w:tab/>
        <w:tab/>
        <w:tab/>
        <w:tab/>
        <w:tab/>
        <w:tab/>
        <w:t>_________________________________</w:t>
      </w:r>
    </w:p>
    <w:p>
      <w:pPr>
        <w:pStyle w:val="Signature"/>
        <w:spacing w:before="0" w:after="0"/>
        <w:rPr/>
      </w:pPr>
      <w:r>
        <w:rPr/>
        <w:t>Dan L. Jones</w:t>
        <w:br/>
        <w:t>dljones@cps-satx.com</w:t>
        <w:br/>
        <w:t>Market Policy &amp; Planning</w:t>
      </w:r>
    </w:p>
    <w:p>
      <w:pPr>
        <w:pStyle w:val="Signature"/>
        <w:rPr>
          <w:b/>
          <w:u w:val="single"/>
        </w:rPr>
      </w:pPr>
      <w:r>
        <w:rPr/>
        <w:t>San Antonio City Public Service</w:t>
        <w:br/>
        <w:t>401 W. 15th Street, Ste. 800</w:t>
        <w:br/>
        <w:t>Austin, TX 78701</w:t>
        <w:br/>
        <w:t>(512) 477-7601 Telephone</w:t>
        <w:br/>
        <w:t>(512) 477-5329 Facsimile</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b/>
          <w:sz w:val="24"/>
          <w:u w:val="single"/>
        </w:rPr>
      </w:pPr>
      <w:r>
        <w:rPr>
          <w:rFonts w:cs="Times New Roman" w:ascii="Times New Roman" w:hAnsi="Times New Roman"/>
          <w:b/>
          <w:sz w:val="24"/>
          <w:u w:val="single"/>
        </w:rPr>
        <w:t>CERTIFICATE OF SERVICE</w:t>
      </w:r>
    </w:p>
    <w:p>
      <w:pPr>
        <w:pStyle w:val="Normal"/>
        <w:jc w:val="both"/>
        <w:rPr>
          <w:rFonts w:ascii="Times New Roman" w:hAnsi="Times New Roman" w:cs="Times New Roman"/>
          <w:b/>
          <w:sz w:val="24"/>
          <w:u w:val="single"/>
        </w:rPr>
      </w:pPr>
      <w:r>
        <w:rPr>
          <w:rFonts w:cs="Times New Roman" w:ascii="Times New Roman" w:hAnsi="Times New Roman"/>
          <w:b/>
          <w:sz w:val="24"/>
          <w:u w:val="single"/>
        </w:rPr>
      </w:r>
    </w:p>
    <w:p>
      <w:pPr>
        <w:pStyle w:val="Normal"/>
        <w:ind w:firstLine="720" w:end="0"/>
        <w:jc w:val="both"/>
        <w:rPr>
          <w:rFonts w:ascii="Times New Roman" w:hAnsi="Times New Roman" w:cs="Times New Roman"/>
          <w:sz w:val="24"/>
        </w:rPr>
      </w:pPr>
      <w:r>
        <w:rPr>
          <w:rFonts w:cs="Times New Roman" w:ascii="Times New Roman" w:hAnsi="Times New Roman"/>
          <w:sz w:val="24"/>
        </w:rPr>
        <w:t>I hereby certify that a true and correct copy of the foregoing document was served upon all parties of record by e-mail, on this the 26th day of January, 2001.</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040" w:end="0"/>
        <w:jc w:val="both"/>
        <w:rPr>
          <w:rFonts w:ascii="Times New Roman" w:hAnsi="Times New Roman" w:cs="Times New Roman"/>
          <w:sz w:val="24"/>
        </w:rPr>
      </w:pPr>
      <w:r>
        <w:rPr>
          <w:rFonts w:cs="Times New Roman" w:ascii="Times New Roman" w:hAnsi="Times New Roman"/>
          <w:sz w:val="24"/>
          <w:u w:val="single"/>
        </w:rPr>
        <w:t xml:space="preserve"> </w:t>
      </w:r>
      <w:r>
        <w:rPr>
          <w:rFonts w:cs="Times New Roman" w:ascii="Times New Roman" w:hAnsi="Times New Roman"/>
          <w:sz w:val="24"/>
          <w:u w:val="single"/>
        </w:rPr>
        <w:tab/>
        <w:tab/>
        <w:tab/>
        <w:tab/>
        <w:tab/>
        <w:t xml:space="preserve">         </w:t>
      </w:r>
    </w:p>
    <w:p>
      <w:pPr>
        <w:pStyle w:val="Normal"/>
        <w:ind w:start="5040" w:end="0"/>
        <w:jc w:val="both"/>
        <w:rPr>
          <w:rFonts w:ascii="Times New Roman" w:hAnsi="Times New Roman" w:cs="Times New Roman"/>
          <w:sz w:val="24"/>
        </w:rPr>
      </w:pPr>
      <w:r>
        <w:rPr>
          <w:rFonts w:cs="Times New Roman" w:ascii="Times New Roman" w:hAnsi="Times New Roman"/>
          <w:sz w:val="24"/>
        </w:rPr>
        <w:t>W. Roger Wilson</w:t>
      </w:r>
    </w:p>
    <w:p>
      <w:pPr>
        <w:pStyle w:val="Normal"/>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footnotePr>
        <w:numFmt w:val="decimal"/>
      </w:footnotePr>
      <w:type w:val="nextPage"/>
      <w:pgSz w:w="12240" w:h="15840"/>
      <w:pgMar w:left="1656" w:right="1656"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41605" cy="146050"/>
              <wp:effectExtent l="0" t="0" r="0" b="0"/>
              <wp:wrapSquare wrapText="bothSides"/>
              <wp:docPr id="6" name="Frame1"/>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17.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Regional Transmission Organizations</w:t>
      </w:r>
      <w:r>
        <w:rPr/>
        <w:t>, FERC Docket No. RM99-2-000, Order 2000 at 642-643 (Dec. 20, 1999) (footnotes omitted).</w:t>
      </w:r>
    </w:p>
  </w:footnote>
  <w:footnote w:id="3">
    <w:p>
      <w:pPr>
        <w:pStyle w:val="FootnoteText"/>
        <w:rPr/>
      </w:pPr>
      <w:r>
        <w:rPr>
          <w:rStyle w:val="FootnoteCharacters"/>
        </w:rPr>
        <w:footnoteRef/>
      </w:r>
      <w:r>
        <w:rPr/>
        <w:t xml:space="preserve"> </w:t>
      </w:r>
      <w:r>
        <w:rPr/>
        <w:t>Early in the ERCOT stakeholder congestion management discussions, there was some discussion related to the direct assignment of local congestion costs.  However, this discussion was preempted and distracted by the prolonged debate that developed regarding the assignment of costs associated with CSC congestion, and did not receive attention thereafter.</w:t>
      </w:r>
    </w:p>
  </w:footnote>
  <w:footnote w:id="4">
    <w:p>
      <w:pPr>
        <w:pStyle w:val="FootnoteText"/>
        <w:rPr/>
      </w:pPr>
      <w:r>
        <w:rPr>
          <w:rStyle w:val="FootnoteCharacters"/>
        </w:rPr>
        <w:footnoteRef/>
      </w:r>
      <w:r>
        <w:rPr/>
        <w:t xml:space="preserve"> </w:t>
      </w:r>
      <w:r>
        <w:rPr>
          <w:i/>
        </w:rPr>
        <w:t>Response to the Commission’s Inquiry Regarding Regional Transmission Organizations</w:t>
      </w:r>
      <w:r>
        <w:rPr/>
        <w:t>, FERC Docket No. RM99-2-000, Dr. William W. Hogan (Aug. 16, 1999).</w:t>
      </w:r>
    </w:p>
  </w:footnote>
  <w:footnote w:id="5">
    <w:p>
      <w:pPr>
        <w:pStyle w:val="FootnoteText"/>
        <w:rPr/>
      </w:pPr>
      <w:r>
        <w:rPr>
          <w:rStyle w:val="FootnoteCharacters"/>
        </w:rPr>
        <w:footnoteRef/>
      </w:r>
      <w:r>
        <w:rPr/>
        <w:t xml:space="preserve"> </w:t>
      </w:r>
      <w:r>
        <w:rPr>
          <w:i/>
        </w:rPr>
        <w:t>ERCOT Local Congestion Management:  Potential for Market Abuse</w:t>
      </w:r>
      <w:r>
        <w:rPr/>
        <w:t>, Shams Siddiqi (date unknown).</w:t>
      </w:r>
    </w:p>
  </w:footnote>
  <w:footnote w:id="6">
    <w:p>
      <w:pPr>
        <w:pStyle w:val="FootnoteText"/>
        <w:rPr/>
      </w:pPr>
      <w:r>
        <w:rPr>
          <w:rStyle w:val="FootnoteCharacters"/>
        </w:rPr>
        <w:footnoteRef/>
      </w:r>
      <w:r>
        <w:rPr/>
        <w:t xml:space="preserve"> </w:t>
      </w:r>
      <w:r>
        <w:rPr/>
        <w:t>CPS recalls from stakeholder discussions that it was contemplated that the top 5% of the balancing energy stack could be made available when such bids were in fact less costly than alternative solutions, such as RMR or OOME deployment.  However, it is unclear whether this concept was agreed to and included in the referenced language that was ultimately deleted from the Protocols.</w:t>
      </w:r>
    </w:p>
  </w:footnote>
  <w:footnote w:id="7">
    <w:p>
      <w:pPr>
        <w:pStyle w:val="FootnoteText"/>
        <w:rPr/>
      </w:pPr>
      <w:r>
        <w:rPr>
          <w:rStyle w:val="FootnoteCharacters"/>
        </w:rPr>
        <w:footnoteRef/>
      </w:r>
      <w:r>
        <w:rPr/>
        <w:t xml:space="preserve"> </w:t>
      </w:r>
      <w:r>
        <w:rPr/>
        <w:t>Of course, the second alternative in the response of CPS to PUC-3 contains a small component of pay-as-bid under as a special case under specific circumstances; however, CPS does not support the wholesale application of pay-as-bid.</w:t>
      </w:r>
    </w:p>
  </w:footnote>
  <w:footnote w:id="8">
    <w:p>
      <w:pPr>
        <w:pStyle w:val="FootnoteText"/>
        <w:rPr/>
      </w:pPr>
      <w:r>
        <w:rPr>
          <w:rStyle w:val="FootnoteCharacters"/>
        </w:rPr>
        <w:footnoteRef/>
      </w:r>
      <w:r>
        <w:rPr/>
        <w:t xml:space="preserve"> </w:t>
      </w:r>
      <w:r>
        <w:rPr>
          <w:i/>
        </w:rPr>
        <w:t>Soft Price Caps and Underscheduling Penalties:  How Would the FERC Plan Affect California Electricity Markets</w:t>
      </w:r>
      <w:r>
        <w:rPr/>
        <w:t>, Dr. Steven Stoft (November 2000) (http://www.stoft.com/x/cal/20001119-Stoft-PWP-079.PDF) (footnotes omitted).</w:t>
      </w:r>
    </w:p>
  </w:footnote>
  <w:footnote w:id="9">
    <w:p>
      <w:pPr>
        <w:pStyle w:val="FootnoteText"/>
        <w:rPr/>
      </w:pPr>
      <w:r>
        <w:rPr>
          <w:rStyle w:val="FootnoteCharacters"/>
        </w:rPr>
        <w:footnoteRef/>
      </w:r>
      <w:r>
        <w:rPr/>
        <w:t xml:space="preserve"> </w:t>
      </w:r>
      <w:r>
        <w:rPr>
          <w:i/>
        </w:rPr>
        <w:t>Overview of California “Market Meltdown” and Remedies</w:t>
      </w:r>
      <w:r>
        <w:rPr/>
        <w:t>, Dr. Steven Stoft (Jan. 7, 2001) (http://www.stoft.com/x/cal/overview.shtml) (footnotes omitted).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Question">
    <w:name w:val="Question"/>
    <w:basedOn w:val="Heading1"/>
    <w:qFormat/>
    <w:pPr>
      <w:keepLines/>
      <w:numPr>
        <w:ilvl w:val="0"/>
        <w:numId w:val="0"/>
      </w:numPr>
      <w:outlineLvl w:val="9"/>
    </w:pPr>
    <w:rPr/>
  </w:style>
  <w:style w:type="paragraph" w:styleId="FootnoteText">
    <w:name w:val="footnote text"/>
    <w:basedOn w:val="Normal"/>
    <w:pPr>
      <w:ind w:hanging="90" w:start="90" w:end="0"/>
    </w:pPr>
    <w:rPr>
      <w:sz w:val="16"/>
    </w:rPr>
  </w:style>
  <w:style w:type="paragraph" w:styleId="Response">
    <w:name w:val="Response"/>
    <w:basedOn w:val="Normal"/>
    <w:qFormat/>
    <w:pPr>
      <w:spacing w:lineRule="auto" w:line="360"/>
      <w:jc w:val="both"/>
    </w:pPr>
    <w:rPr/>
  </w:style>
  <w:style w:type="paragraph" w:styleId="BlockText">
    <w:name w:val="Block Text"/>
    <w:basedOn w:val="Normal"/>
    <w:qFormat/>
    <w:pPr>
      <w:ind w:hanging="0" w:start="1440" w:end="720"/>
      <w:jc w:val="both"/>
    </w:pPr>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before="0" w:after="240"/>
    </w:pPr>
    <w:rPr>
      <w:rFonts w:ascii="Times New Roman" w:hAnsi="Times New Roman" w:cs="Times New Roman"/>
      <w:sz w:val="24"/>
    </w:rPr>
  </w:style>
  <w:style w:type="paragraph" w:styleId="Signature">
    <w:name w:val="Signature"/>
    <w:basedOn w:val="Normal"/>
    <w:pPr>
      <w:tabs>
        <w:tab w:val="clear" w:pos="720"/>
        <w:tab w:val="right" w:pos="9360" w:leader="none"/>
      </w:tabs>
      <w:spacing w:before="0" w:after="240"/>
      <w:ind w:hanging="0" w:start="4320" w:end="0"/>
    </w:pPr>
    <w:rPr>
      <w:rFonts w:ascii="Times New Roman" w:hAnsi="Times New Roman" w:cs="Times New Roman"/>
      <w:sz w:val="24"/>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2001-01-23T17:51:00Z</dcterms:created>
  <dc:creator>DLJones</dc:creator>
  <dc:description/>
  <dc:language>en-CA</dc:language>
  <cp:lastModifiedBy>LLJohnson</cp:lastModifiedBy>
  <cp:lastPrinted>2001-01-26T14:02:00Z</cp:lastPrinted>
  <dcterms:modified xsi:type="dcterms:W3CDTF">2001-01-26T17:36:00Z</dcterms:modified>
  <cp:revision>88</cp:revision>
  <dc:subject/>
  <dc:title>PUC 1</dc:title>
</cp:coreProperties>
</file>