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op w:val="dashed" w:sz="6" w:space="0" w:color="auto"/>
              <w:start w:val="dashed" w:sz="6" w:space="0" w:color="auto"/>
              <w:bottom w:val="dashed" w:sz="6" w:space="0" w:color="auto"/>
              <w:end w:val="dashed" w:sz="6" w:space="0" w:color="auto"/>
            </w:tcBorders>
          </w:tcPr>
          <w:p>
            <w:pPr>
              <w:pStyle w:val="Normal"/>
              <w:rPr>
                <w:sz w:val="20"/>
                <w:szCs w:val="20"/>
              </w:rPr>
            </w:pPr>
            <w:r>
              <w:rPr>
                <w:sz w:val="20"/>
                <w:szCs w:val="20"/>
              </w:rPr>
              <w:drawing>
                <wp:inline distT="0" distB="0" distL="0" distR="0">
                  <wp:extent cx="833755" cy="833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833755" cy="833755"/>
                          </a:xfrm>
                          <a:prstGeom prst="rect">
                            <a:avLst/>
                          </a:prstGeom>
                          <a:noFill/>
                        </pic:spPr>
                      </pic:pic>
                    </a:graphicData>
                  </a:graphic>
                </wp:inline>
              </w:drawing>
            </w:r>
          </w:p>
          <w:p>
            <w:pPr>
              <w:pStyle w:val="Normal"/>
              <w:rPr/>
            </w:pPr>
            <w:r>
              <w:rPr/>
            </w:r>
          </w:p>
        </w:tc>
        <w:tc>
          <w:tcPr>
            <w:tcW w:w="7740" w:type="dxa"/>
            <w:tcBorders>
              <w:top w:val="dashed" w:sz="6" w:space="0" w:color="auto"/>
              <w:start w:val="dashed" w:sz="6" w:space="0" w:color="auto"/>
              <w:bottom w:val="dashed" w:sz="6" w:space="0" w:color="auto"/>
              <w:end w:val="dashed" w:sz="6" w:space="0" w:color="auto"/>
            </w:tcBorders>
          </w:tcPr>
          <w:p>
            <w:pPr>
              <w:pStyle w:val="Heading"/>
              <w:rPr>
                <w:b w:val="false"/>
                <w:bCs w:val="false"/>
                <w:sz w:val="18"/>
                <w:szCs w:val="18"/>
              </w:rPr>
            </w:pPr>
            <w:r>
              <w:rPr/>
              <w:t xml:space="preserve">                                                                          </w:t>
            </w:r>
            <w:r>
              <w:rPr>
                <w:sz w:val="18"/>
                <w:szCs w:val="18"/>
              </w:rPr>
              <w:t>Enron Power Marketing, Inc.</w:t>
            </w:r>
          </w:p>
          <w:p>
            <w:pPr>
              <w:pStyle w:val="Heading"/>
              <w:rPr/>
            </w:pPr>
            <w:r>
              <w:rPr>
                <w:sz w:val="18"/>
                <w:szCs w:val="18"/>
              </w:rPr>
              <w:t xml:space="preserve">                                                                                    </w:t>
            </w:r>
            <w:r>
              <w:rPr>
                <w:sz w:val="16"/>
                <w:szCs w:val="16"/>
              </w:rPr>
              <w:t xml:space="preserve">                </w:t>
            </w:r>
            <w:r>
              <w:rPr>
                <w:b w:val="false"/>
                <w:bCs w:val="false"/>
                <w:i/>
                <w:iCs/>
                <w:sz w:val="16"/>
                <w:szCs w:val="16"/>
              </w:rPr>
              <w:t>P.O. Box 4428</w:t>
            </w:r>
          </w:p>
          <w:p>
            <w:pPr>
              <w:pStyle w:val="Normal"/>
              <w:rPr>
                <w:rFonts w:ascii="Arial" w:hAnsi="Arial" w:eastAsia="Arial" w:cs="Arial"/>
                <w:i/>
                <w:i/>
                <w:iCs/>
                <w:sz w:val="16"/>
                <w:szCs w:val="16"/>
              </w:rPr>
            </w:pPr>
            <w:r>
              <w:rPr>
                <w:rFonts w:eastAsia="Arial" w:cs="Arial" w:ascii="Arial" w:hAnsi="Arial"/>
                <w:i/>
                <w:iCs/>
                <w:sz w:val="16"/>
                <w:szCs w:val="16"/>
              </w:rPr>
              <w:t xml:space="preserve">                                                                                                             </w:t>
            </w:r>
            <w:r>
              <w:rPr>
                <w:rFonts w:eastAsia="Arial" w:cs="Arial" w:ascii="Arial" w:hAnsi="Arial"/>
                <w:i/>
                <w:iCs/>
                <w:sz w:val="16"/>
                <w:szCs w:val="16"/>
              </w:rPr>
              <w:t>Houston, Texas 77210-4428</w:t>
            </w:r>
          </w:p>
          <w:p>
            <w:pPr>
              <w:pStyle w:val="Normal"/>
              <w:rPr/>
            </w:pPr>
            <w:r>
              <w:rPr>
                <w:sz w:val="16"/>
                <w:szCs w:val="16"/>
              </w:rPr>
              <w:t xml:space="preserve">                                                                                                                         </w:t>
            </w:r>
            <w:r>
              <w:rPr>
                <w:rFonts w:eastAsia="Arial" w:cs="Arial" w:ascii="Arial" w:hAnsi="Arial"/>
                <w:i/>
                <w:iCs/>
                <w:sz w:val="16"/>
                <w:szCs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DateToday </w:instrText>
      </w:r>
      <w:r>
        <w:rPr>
          <w:sz w:val="18"/>
          <w:szCs w:val="18"/>
          <w:rFonts w:eastAsia="Arial" w:cs="Arial" w:ascii="Arial" w:hAnsi="Arial"/>
        </w:rPr>
        <w:fldChar w:fldCharType="separate"/>
      </w:r>
      <w:r>
        <w:rPr>
          <w:sz w:val="18"/>
          <w:szCs w:val="18"/>
          <w:rFonts w:eastAsia="Arial" w:cs="Arial" w:ascii="Arial" w:hAnsi="Arial"/>
        </w:rPr>
        <w:t>March __, 2001</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CP&amp;L</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CounterpartyAddrCity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CounterpartyAddrState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CounterpartyAddrZip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Fax No. </w:t>
      </w:r>
      <w:r>
        <w:rPr>
          <w:rFonts w:eastAsia="Arial" w:cs="Arial" w:ascii="Arial" w:hAnsi="Arial"/>
          <w:sz w:val="18"/>
          <w:szCs w:val="18"/>
        </w:rPr>
        <w:fldChar w:fldCharType="begin"/>
      </w:r>
      <w:r>
        <w:rPr>
          <w:sz w:val="18"/>
          <w:szCs w:val="18"/>
          <w:rFonts w:eastAsia="Arial" w:cs="Arial" w:ascii="Arial" w:hAnsi="Arial"/>
        </w:rPr>
        <w:instrText xml:space="preserve"> MERGEFIELD CounterpartyFax </w:instrText>
      </w:r>
      <w:r>
        <w:rPr>
          <w:sz w:val="18"/>
          <w:szCs w:val="18"/>
          <w:rFonts w:eastAsia="Arial" w:cs="Arial" w:ascii="Arial" w:hAnsi="Arial"/>
        </w:rPr>
        <w:fldChar w:fldCharType="separate"/>
      </w:r>
      <w:r>
        <w:rPr>
          <w:sz w:val="18"/>
          <w:szCs w:val="18"/>
          <w:rFonts w:eastAsia="Arial" w:cs="Arial" w:ascii="Arial" w:hAnsi="Arial"/>
        </w:rPr>
        <w:t>(423) 751-8702</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This confirmation letter (“Confirmation”, and together with the terms and conditions set foth in Annex A, the “Agreement”) shall confirm the agreement reached on March __</w:t>
        <w:softHyphen/>
        <w:softHyphen/>
      </w:r>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 2001</w:t>
      </w:r>
      <w:r>
        <w:rPr>
          <w:sz w:val="18"/>
          <w:szCs w:val="18"/>
          <w:rFonts w:eastAsia="Arial" w:cs="Arial" w:ascii="Arial" w:hAnsi="Arial"/>
        </w:rPr>
        <w:fldChar w:fldCharType="end"/>
      </w:r>
      <w:r>
        <w:rPr>
          <w:rFonts w:eastAsia="Arial" w:cs="Arial" w:ascii="Arial" w:hAnsi="Arial"/>
          <w:sz w:val="18"/>
          <w:szCs w:val="18"/>
        </w:rPr>
        <w:t xml:space="preserve"> between Carolina Power &amp; Light Company (“CPL”) and North Carolina Power Holdings, LLC (“NCPH”) regarding North Carolina Power Holdings, LLC’s sale of a daily call option on Energy and Capacity from the coal-fired generation units owned by NCPH’s wholly-owned subsidiaries at Elizabethtown, North Carolina and Lumberton, North Carolina (each plant referred to herein as a “Unit” or collectively as the “Units”)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North Carolina Power Holdings, LLC (“Seller”) </w:t>
      </w:r>
      <w:r>
        <w:rPr>
          <w:rFonts w:eastAsia="Arial" w:cs="Arial" w:ascii="Arial" w:hAnsi="Arial"/>
          <w:sz w:val="18"/>
          <w:szCs w:val="18"/>
        </w:rPr>
        <w:fldChar w:fldCharType="begin"/>
      </w:r>
      <w:r>
        <w:rPr>
          <w:sz w:val="18"/>
          <w:szCs w:val="18"/>
          <w:rFonts w:eastAsia="Arial" w:cs="Arial" w:ascii="Arial" w:hAnsi="Arial"/>
        </w:rPr>
        <w:instrText xml:space="preserve"> MERGEFIELD EnronOptRole </w:instrText>
      </w:r>
      <w:r>
        <w:rPr>
          <w:sz w:val="18"/>
          <w:szCs w:val="18"/>
          <w:rFonts w:eastAsia="Arial" w:cs="Arial" w:ascii="Arial" w:hAnsi="Arial"/>
        </w:rPr>
        <w:fldChar w:fldCharType="separate"/>
      </w:r>
      <w:r>
        <w:rPr>
          <w:sz w:val="18"/>
          <w:szCs w:val="18"/>
          <w:rFonts w:eastAsia="Arial" w:cs="Arial" w:ascii="Arial" w:hAnsi="Arial"/>
        </w:rPr>
        <w:t>is obligated to sell and deliver</w:t>
      </w:r>
      <w:r>
        <w:rPr>
          <w:sz w:val="18"/>
          <w:szCs w:val="18"/>
          <w:rFonts w:eastAsia="Arial" w:cs="Arial" w:ascii="Arial" w:hAnsi="Arial"/>
        </w:rPr>
        <w:fldChar w:fldCharType="end"/>
      </w:r>
      <w:r>
        <w:rPr>
          <w:rFonts w:eastAsia="Arial" w:cs="Arial" w:ascii="Arial" w:hAnsi="Arial"/>
          <w:sz w:val="18"/>
          <w:szCs w:val="18"/>
        </w:rPr>
        <w:t xml:space="preserve"> Energy and Capacity from the Units if Carolina Power &amp; Light Company (“Buyer”) properly </w:t>
      </w:r>
      <w:r>
        <w:rPr>
          <w:rFonts w:eastAsia="Arial" w:cs="Arial" w:ascii="Arial" w:hAnsi="Arial"/>
          <w:sz w:val="18"/>
          <w:szCs w:val="18"/>
        </w:rPr>
        <w:fldChar w:fldCharType="begin"/>
      </w:r>
      <w:r>
        <w:rPr>
          <w:sz w:val="18"/>
          <w:szCs w:val="18"/>
          <w:rFonts w:eastAsia="Arial" w:cs="Arial" w:ascii="Arial" w:hAnsi="Arial"/>
        </w:rPr>
        <w:instrText xml:space="preserve"> MERGEFIELD CounterpartyOptRole </w:instrText>
      </w:r>
      <w:r>
        <w:rPr>
          <w:sz w:val="18"/>
          <w:szCs w:val="18"/>
          <w:rFonts w:eastAsia="Arial" w:cs="Arial" w:ascii="Arial" w:hAnsi="Arial"/>
        </w:rPr>
        <w:fldChar w:fldCharType="separate"/>
      </w:r>
      <w:r>
        <w:rPr>
          <w:sz w:val="18"/>
          <w:szCs w:val="18"/>
          <w:rFonts w:eastAsia="Arial" w:cs="Arial" w:ascii="Arial" w:hAnsi="Arial"/>
        </w:rPr>
        <w:t>exercises its option to purchase and receive</w:t>
      </w:r>
      <w:r>
        <w:rPr>
          <w:sz w:val="18"/>
          <w:szCs w:val="18"/>
          <w:rFonts w:eastAsia="Arial" w:cs="Arial" w:ascii="Arial" w:hAnsi="Arial"/>
        </w:rPr>
        <w:fldChar w:fldCharType="end"/>
      </w:r>
      <w:r>
        <w:rPr>
          <w:rFonts w:eastAsia="Arial" w:cs="Arial" w:ascii="Arial" w:hAnsi="Arial"/>
          <w:sz w:val="18"/>
          <w:szCs w:val="18"/>
        </w:rPr>
        <w:t>, subject to the terms and conditions of this Confirmation.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Term: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Term </w:instrText>
            </w:r>
            <w:r>
              <w:rPr>
                <w:sz w:val="18"/>
                <w:szCs w:val="18"/>
                <w:rFonts w:eastAsia="Arial" w:cs="Arial" w:ascii="Arial" w:hAnsi="Arial"/>
              </w:rPr>
              <w:fldChar w:fldCharType="separate"/>
            </w:r>
            <w:r>
              <w:rPr>
                <w:sz w:val="18"/>
                <w:szCs w:val="18"/>
                <w:rFonts w:eastAsia="Arial" w:cs="Arial" w:ascii="Arial" w:hAnsi="Arial"/>
              </w:rPr>
              <w:t xml:space="preserve">Tuesday, May 1, 2001 through Monday, December 31, 2001.  </w:t>
              <w:t xml:space="preserve">Hour Ending (HE) 0100 through HE 2400 (24 Hours each day), </w:t>
              <w:t xml:space="preserve">Eastern Prevailing Time. </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Price:</w:t>
            </w:r>
          </w:p>
        </w:tc>
        <w:tc>
          <w:tcPr>
            <w:tcW w:w="8118" w:type="dxa"/>
            <w:tcBorders>
              <w:top w:val="dashed" w:sz="6" w:space="0" w:color="auto"/>
              <w:start w:val="dashed" w:sz="6" w:space="0" w:color="auto"/>
              <w:bottom w:val="dashed" w:sz="6" w:space="0" w:color="auto"/>
              <w:end w:val="dashed" w:sz="6" w:space="0" w:color="auto"/>
            </w:tcBorders>
          </w:tcPr>
          <w:p>
            <w:pPr>
              <w:pStyle w:val="BodyText3"/>
              <w:rPr>
                <w:rFonts w:ascii="Arial" w:hAnsi="Arial" w:eastAsia="Arial" w:cs="Arial"/>
                <w:sz w:val="18"/>
                <w:szCs w:val="18"/>
              </w:rPr>
            </w:pPr>
            <w:r>
              <w:rPr>
                <w:rFonts w:eastAsia="Arial" w:cs="Arial" w:ascii="Arial" w:hAnsi="Arial"/>
                <w:sz w:val="18"/>
                <w:szCs w:val="18"/>
              </w:rPr>
              <w:t>The charges for the Capacity and all Energy delivered at the Delivery Point shall be equal to the sum of the Capacity Charge and the Energy Charge.  Such amounts shall be payable monthly in arrears.</w:t>
            </w:r>
          </w:p>
          <w:p>
            <w:pPr>
              <w:pStyle w:val="Normal"/>
              <w:jc w:val="both"/>
              <w:rPr>
                <w:rFonts w:ascii="Arial" w:hAnsi="Arial" w:eastAsia="Arial" w:cs="Arial"/>
                <w:sz w:val="18"/>
                <w:szCs w:val="18"/>
              </w:rPr>
            </w:pPr>
            <w:r>
              <w:rPr>
                <w:rFonts w:eastAsia="Arial" w:cs="Arial" w:ascii="Arial" w:hAnsi="Arial"/>
                <w:sz w:val="18"/>
                <w:szCs w:val="18"/>
              </w:rPr>
              <w:tab/>
              <w:tab/>
              <w:tab/>
            </w:r>
          </w:p>
          <w:p>
            <w:pPr>
              <w:pStyle w:val="Normal"/>
              <w:jc w:val="both"/>
              <w:rPr>
                <w:rFonts w:ascii="Arial" w:hAnsi="Arial" w:eastAsia="Arial" w:cs="Arial"/>
                <w:sz w:val="18"/>
                <w:szCs w:val="18"/>
              </w:rPr>
            </w:pPr>
            <w:r>
              <w:rPr>
                <w:rFonts w:eastAsia="Arial" w:cs="Arial" w:ascii="Arial" w:hAnsi="Arial"/>
                <w:sz w:val="18"/>
                <w:szCs w:val="18"/>
              </w:rPr>
              <w:t xml:space="preserve">(1) Capacity Charge: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5400" w:type="dxa"/>
        <w:jc w:val="start"/>
        <w:tblInd w:w="2268" w:type="dxa"/>
        <w:tblLayout w:type="fixed"/>
        <w:tblCellMar>
          <w:top w:w="0" w:type="dxa"/>
          <w:start w:w="108" w:type="dxa"/>
          <w:bottom w:w="0" w:type="dxa"/>
          <w:end w:w="108" w:type="dxa"/>
        </w:tblCellMar>
      </w:tblPr>
      <w:tblGrid>
        <w:gridCol w:w="1260"/>
        <w:gridCol w:w="900"/>
        <w:gridCol w:w="3240"/>
      </w:tblGrid>
      <w:tr>
        <w:trPr>
          <w:trHeight w:val="233" w:hRule="atLeast"/>
        </w:trPr>
        <w:tc>
          <w:tcPr>
            <w:tcW w:w="1260" w:type="dxa"/>
            <w:tcBorders>
              <w:top w:val="single" w:sz="6" w:space="0" w:color="000000"/>
              <w:start w:val="single" w:sz="6" w:space="0" w:color="000000"/>
              <w:bottom w:val="single" w:sz="6" w:space="0" w:color="000000"/>
              <w:end w:val="single" w:sz="6" w:space="0" w:color="000000"/>
            </w:tcBorders>
          </w:tcPr>
          <w:p>
            <w:pPr>
              <w:pStyle w:val="Heading1"/>
              <w:ind w:hanging="0" w:start="0"/>
              <w:jc w:val="start"/>
              <w:rPr>
                <w:rFonts w:ascii="Arial" w:hAnsi="Arial" w:eastAsia="Arial" w:cs="Arial"/>
                <w:sz w:val="18"/>
                <w:szCs w:val="18"/>
              </w:rPr>
            </w:pPr>
            <w:r>
              <w:rPr>
                <w:rFonts w:eastAsia="Arial" w:cs="Arial" w:ascii="Arial" w:hAnsi="Arial"/>
                <w:sz w:val="18"/>
                <w:szCs w:val="18"/>
              </w:rPr>
              <w:t>Month</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b/>
                <w:bCs/>
                <w:sz w:val="18"/>
                <w:szCs w:val="18"/>
              </w:rPr>
              <w:t>$/Kw-month</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b/>
                <w:bCs/>
                <w:sz w:val="18"/>
                <w:szCs w:val="18"/>
              </w:rPr>
            </w:pPr>
            <w:r>
              <w:rPr>
                <w:rFonts w:eastAsia="Arial" w:cs="Arial" w:ascii="Arial" w:hAnsi="Arial"/>
                <w:b/>
                <w:bCs/>
                <w:sz w:val="18"/>
                <w:szCs w:val="18"/>
              </w:rPr>
              <w:t>Monthly Capacity Charge</w:t>
            </w:r>
          </w:p>
        </w:tc>
      </w:tr>
      <w:tr>
        <w:trPr>
          <w:trHeight w:val="23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8"/>
                <w:szCs w:val="18"/>
              </w:rPr>
            </w:pPr>
            <w:r>
              <w:rPr>
                <w:rFonts w:eastAsia="Arial" w:cs="Arial" w:ascii="Arial" w:hAnsi="Arial"/>
                <w:b/>
                <w:bCs/>
                <w:sz w:val="18"/>
                <w:szCs w:val="18"/>
              </w:rPr>
              <w:t>May</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$4.35</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304,500.00</w:t>
            </w:r>
          </w:p>
        </w:tc>
      </w:tr>
      <w:tr>
        <w:trPr>
          <w:trHeight w:val="23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b/>
                <w:bCs/>
                <w:sz w:val="18"/>
                <w:szCs w:val="18"/>
              </w:rPr>
              <w:t>June</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$12.40</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868,000.00</w:t>
            </w:r>
          </w:p>
        </w:tc>
      </w:tr>
      <w:tr>
        <w:trPr>
          <w:trHeight w:val="23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8"/>
                <w:szCs w:val="18"/>
              </w:rPr>
            </w:pPr>
            <w:r>
              <w:rPr>
                <w:rFonts w:eastAsia="Arial" w:cs="Arial" w:ascii="Arial" w:hAnsi="Arial"/>
                <w:b/>
                <w:bCs/>
                <w:sz w:val="18"/>
                <w:szCs w:val="18"/>
              </w:rPr>
              <w:t>July</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$28.75</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$2,012,500.00</w:t>
            </w:r>
          </w:p>
        </w:tc>
      </w:tr>
      <w:tr>
        <w:trPr>
          <w:trHeight w:val="23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8"/>
                <w:szCs w:val="18"/>
              </w:rPr>
            </w:pPr>
            <w:r>
              <w:rPr>
                <w:rFonts w:eastAsia="Arial" w:cs="Arial" w:ascii="Arial" w:hAnsi="Arial"/>
                <w:b/>
                <w:bCs/>
                <w:sz w:val="18"/>
                <w:szCs w:val="18"/>
              </w:rPr>
              <w:t>August</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$28.75</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$2,012,500.00</w:t>
            </w:r>
          </w:p>
        </w:tc>
      </w:tr>
      <w:tr>
        <w:trPr>
          <w:trHeight w:val="233"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8"/>
                <w:szCs w:val="18"/>
              </w:rPr>
            </w:pPr>
            <w:r>
              <w:rPr>
                <w:rFonts w:eastAsia="Arial" w:cs="Arial" w:ascii="Arial" w:hAnsi="Arial"/>
                <w:b/>
                <w:bCs/>
                <w:sz w:val="18"/>
                <w:szCs w:val="18"/>
              </w:rPr>
              <w:t>September</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$4.15</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290,500.00</w:t>
            </w:r>
          </w:p>
        </w:tc>
      </w:tr>
      <w:tr>
        <w:trPr>
          <w:trHeight w:val="242"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b/>
                <w:bCs/>
                <w:sz w:val="18"/>
                <w:szCs w:val="18"/>
              </w:rPr>
              <w:t>October</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$3.20</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224,000.00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b/>
                <w:bCs/>
                <w:sz w:val="18"/>
                <w:szCs w:val="18"/>
              </w:rPr>
              <w:t>November</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$3.20</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224,000.00</w:t>
            </w:r>
          </w:p>
        </w:tc>
      </w:tr>
    </w:tbl>
    <w:p>
      <w:pPr>
        <w:sectPr>
          <w:headerReference w:type="default" r:id="rId3"/>
          <w:footerReference w:type="default" r:id="rId4"/>
          <w:type w:val="nextPage"/>
          <w:pgSz w:w="12240" w:h="15840"/>
          <w:pgMar w:left="1440" w:right="1440" w:gutter="0" w:header="720" w:top="776" w:footer="720" w:bottom="776"/>
          <w:pgNumType w:fmt="decimal"/>
          <w:formProt w:val="false"/>
          <w:textDirection w:val="lrTb"/>
        </w:sectPr>
      </w:pPr>
    </w:p>
    <w:tbl>
      <w:tblPr>
        <w:tblW w:w="5400" w:type="dxa"/>
        <w:jc w:val="start"/>
        <w:tblInd w:w="2268" w:type="dxa"/>
        <w:tblLayout w:type="fixed"/>
        <w:tblCellMar>
          <w:top w:w="0" w:type="dxa"/>
          <w:start w:w="108" w:type="dxa"/>
          <w:bottom w:w="0" w:type="dxa"/>
          <w:end w:w="108" w:type="dxa"/>
        </w:tblCellMar>
      </w:tblPr>
      <w:tblGrid>
        <w:gridCol w:w="1260"/>
        <w:gridCol w:w="900"/>
        <w:gridCol w:w="3240"/>
      </w:tblGrid>
      <w:tr>
        <w:trPr/>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8"/>
                <w:szCs w:val="18"/>
              </w:rPr>
            </w:pPr>
            <w:r>
              <w:rPr>
                <w:rFonts w:eastAsia="Arial" w:cs="Arial" w:ascii="Arial" w:hAnsi="Arial"/>
                <w:b/>
                <w:bCs/>
                <w:sz w:val="18"/>
                <w:szCs w:val="18"/>
              </w:rPr>
              <w:t>December</w:t>
            </w:r>
          </w:p>
        </w:tc>
        <w:tc>
          <w:tcPr>
            <w:tcW w:w="90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$3.20</w:t>
            </w:r>
          </w:p>
        </w:tc>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224,000.00</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(2) Energy Charge:  For Energy delivered to the Delivery Point during May, September, October, November and December:</w:t>
            </w:r>
            <w:r>
              <w:rPr>
                <w:rFonts w:eastAsia="Arial" w:cs="Arial" w:ascii="Arial" w:hAnsi="Arial"/>
                <w:sz w:val="18"/>
                <w:szCs w:val="18"/>
              </w:rPr>
              <w:fldChar w:fldCharType="begin"/>
            </w:r>
            <w:r>
              <w:rPr>
                <w:sz w:val="18"/>
                <w:szCs w:val="18"/>
                <w:rFonts w:eastAsia="Arial" w:cs="Arial" w:ascii="Arial" w:hAnsi="Arial"/>
              </w:rPr>
              <w:instrText xml:space="preserve"> MERGEFIELD Price </w:instrText>
            </w:r>
            <w:r>
              <w:rPr>
                <w:sz w:val="18"/>
                <w:szCs w:val="18"/>
                <w:rFonts w:eastAsia="Arial" w:cs="Arial" w:ascii="Arial" w:hAnsi="Arial"/>
              </w:rPr>
              <w:fldChar w:fldCharType="separate"/>
            </w:r>
            <w:r>
              <w:rPr>
                <w:sz w:val="18"/>
                <w:szCs w:val="18"/>
                <w:rFonts w:eastAsia="Arial" w:cs="Arial" w:ascii="Arial" w:hAnsi="Arial"/>
              </w:rPr>
              <w:t xml:space="preserve"> $50.00/MWh</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For Energy delivered to the Delivery Point during June, July and August: $80/MWh</w:t>
            </w:r>
          </w:p>
        </w:tc>
      </w:tr>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Quantity:</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Buyer may exercise its option to buy and receive 100% of the output of either Unit or both Units, currently estimated to be a total of 70MW for both Units.  Buyer must schedule</w:t>
            </w:r>
            <w:r>
              <w:rPr>
                <w:rFonts w:eastAsia="Arial" w:cs="Arial" w:ascii="Arial" w:hAnsi="Arial"/>
                <w:sz w:val="18"/>
                <w:szCs w:val="18"/>
              </w:rPr>
              <w:fldChar w:fldCharType="begin"/>
            </w:r>
            <w:r>
              <w:rPr>
                <w:sz w:val="18"/>
                <w:szCs w:val="18"/>
                <w:rFonts w:eastAsia="Arial" w:cs="Arial" w:ascii="Arial" w:hAnsi="Arial"/>
              </w:rPr>
              <w:instrText xml:space="preserve"> MERGEFIELD TotalQuantity </w:instrText>
            </w:r>
            <w:r>
              <w:rPr>
                <w:sz w:val="18"/>
                <w:szCs w:val="18"/>
                <w:rFonts w:eastAsia="Arial" w:cs="Arial" w:ascii="Arial" w:hAnsi="Arial"/>
              </w:rPr>
              <w:fldChar w:fldCharType="separate"/>
            </w:r>
            <w:r>
              <w:rPr>
                <w:sz w:val="18"/>
                <w:szCs w:val="18"/>
                <w:rFonts w:eastAsia="Arial" w:cs="Arial" w:ascii="Arial" w:hAnsi="Arial"/>
              </w:rPr>
              <w:t xml:space="preserve"> either a block of 35 MW for each Hour for at least 16 consecutive Hours each day or a block of 70 MW for each Hour for at least 16 consecutive Hours each day.  Each hour in a scheduled period shall contain the same quantity of Energy.  If Buyer does not properly exercise its option or does not timely schedule a Unit for any day or part of a day as provided herein, then Seller shall have the right to sell Energy and Capacity from that Unit </w:t>
            </w:r>
            <w:r>
              <w:rPr>
                <w:sz w:val="18"/>
                <w:szCs w:val="18"/>
                <w:rFonts w:eastAsia="Arial" w:cs="Arial" w:ascii="Arial" w:hAnsi="Arial"/>
              </w:rPr>
              <w:fldChar w:fldCharType="end"/>
            </w:r>
            <w:r>
              <w:rPr>
                <w:rFonts w:eastAsia="Arial" w:cs="Arial" w:ascii="Arial" w:hAnsi="Arial"/>
                <w:sz w:val="18"/>
                <w:szCs w:val="18"/>
              </w:rPr>
              <w:t>with no restrictions whatsoever.</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Transmission:</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Seller shall be solely responsible for transmission and related costs to the Delivery Point.  Buyer shall be solely responsible for transmission and related costs at and from the Delivery Point.  </w:t>
            </w:r>
          </w:p>
        </w:tc>
      </w:tr>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Point(s):</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With respect to Energy to be delivered from a Unit, the i</w:t>
            </w:r>
            <w:r>
              <w:rPr>
                <w:rFonts w:eastAsia="Arial" w:cs="Arial" w:ascii="Arial" w:hAnsi="Arial"/>
                <w:sz w:val="18"/>
                <w:szCs w:val="18"/>
              </w:rPr>
              <w:fldChar w:fldCharType="begin"/>
            </w:r>
            <w:r>
              <w:rPr>
                <w:sz w:val="18"/>
                <w:szCs w:val="18"/>
                <w:rFonts w:eastAsia="Arial" w:cs="Arial" w:ascii="Arial" w:hAnsi="Arial"/>
              </w:rPr>
              <w:instrText xml:space="preserve"> MERGEFIELD DeliveryPoint </w:instrText>
            </w:r>
            <w:r>
              <w:rPr>
                <w:sz w:val="18"/>
                <w:szCs w:val="18"/>
                <w:rFonts w:eastAsia="Arial" w:cs="Arial" w:ascii="Arial" w:hAnsi="Arial"/>
              </w:rPr>
              <w:fldChar w:fldCharType="separate"/>
            </w:r>
            <w:r>
              <w:rPr>
                <w:sz w:val="18"/>
                <w:szCs w:val="18"/>
                <w:rFonts w:eastAsia="Arial" w:cs="Arial" w:ascii="Arial" w:hAnsi="Arial"/>
              </w:rPr>
              <w:t xml:space="preserve">nterconnection of that Unit to Buyer's 115kV system (each interconnection is located in Buyer's East Control Area).  With respect to Energy to be delivered from another source selected by Seller, the Delivery Point will be selected daily by Seller, as provided in paragraph (__ )below. </w:t>
            </w:r>
            <w:r>
              <w:rPr>
                <w:sz w:val="18"/>
                <w:szCs w:val="18"/>
                <w:rFonts w:eastAsia="Arial" w:cs="Arial" w:ascii="Arial" w:hAnsi="Arial"/>
              </w:rPr>
              <w:fldChar w:fldCharType="end"/>
            </w:r>
            <w:r>
              <w:rPr>
                <w:rFonts w:eastAsia="Arial" w:cs="Arial" w:ascii="Arial" w:hAnsi="Arial"/>
                <w:sz w:val="18"/>
                <w:szCs w:val="18"/>
              </w:rPr>
              <w:t xml:space="preserve"> </w:t>
            </w:r>
          </w:p>
        </w:tc>
      </w:tr>
    </w:tbl>
    <w:p>
      <w:pPr>
        <w:pStyle w:val="Normal"/>
        <w:jc w:val="both"/>
        <w:rPr>
          <w:rFonts w:ascii="Arial" w:hAnsi="Arial" w:eastAsia="Arial" w:cs="Arial"/>
          <w:sz w:val="18"/>
          <w:szCs w:val="18"/>
          <w:u w:val="single"/>
        </w:rPr>
      </w:pPr>
      <w:r>
        <w:rPr>
          <w:rFonts w:eastAsia="Arial" w:cs="Arial" w:ascii="Arial" w:hAnsi="Arial"/>
          <w:sz w:val="18"/>
          <w:szCs w:val="18"/>
          <w:u w:val="single"/>
        </w:rPr>
      </w:r>
    </w:p>
    <w:p>
      <w:pPr>
        <w:pStyle w:val="Normal"/>
        <w:ind w:hanging="1440" w:start="1440" w:end="0"/>
        <w:jc w:val="both"/>
        <w:rPr/>
      </w:pPr>
      <w:r>
        <w:rPr>
          <w:rFonts w:eastAsia="Arial" w:cs="Arial" w:ascii="Arial" w:hAnsi="Arial"/>
          <w:sz w:val="18"/>
          <w:szCs w:val="18"/>
        </w:rPr>
        <w:t>Scheduling:</w:t>
        <w:tab/>
        <w:t>If Energy is scheduled, it shall be scheduled</w:t>
      </w:r>
      <w:r>
        <w:rPr>
          <w:rFonts w:eastAsia="Arial" w:cs="Arial" w:ascii="Arial" w:hAnsi="Arial"/>
          <w:b/>
          <w:bCs/>
          <w:sz w:val="18"/>
          <w:szCs w:val="18"/>
        </w:rPr>
        <w:t xml:space="preserve"> </w:t>
      </w:r>
      <w:r>
        <w:rPr>
          <w:rFonts w:eastAsia="Arial" w:cs="Arial" w:ascii="Arial" w:hAnsi="Arial"/>
          <w:sz w:val="18"/>
          <w:szCs w:val="18"/>
        </w:rPr>
        <w:t>a day ahead, and when scheduled, shall be taken by CPL in the minimum blocks specified above.  Notice of schedule will be provided to Seller at EPMI Real Time Operations by facsimile (713-646-8272) and confirmed by telephone (1-800-349-5527) by 11:00 a.m. (EPT) on the Business Day preceding the delivery day.  “Business Day” means Monday through Friday, excluding federal holidays.  Schedules for Saturday, Sunday and Monday are to be provided on the prior Friday.  Schedules for federal holidays are to be made on the previous Business Day.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jc w:val="both"/>
              <w:rPr>
                <w:rFonts w:ascii="Arial" w:hAnsi="Arial" w:eastAsia="Arial" w:cs="Arial"/>
                <w:sz w:val="18"/>
                <w:szCs w:val="18"/>
              </w:rPr>
            </w:pPr>
            <w:r>
              <w:rPr>
                <w:rFonts w:eastAsia="Arial" w:cs="Arial" w:ascii="Arial" w:hAnsi="Arial"/>
                <w:sz w:val="18"/>
                <w:szCs w:val="18"/>
              </w:rPr>
              <w:t>Special</w:t>
            </w:r>
          </w:p>
          <w:p>
            <w:pPr>
              <w:pStyle w:val="Normal"/>
              <w:jc w:val="both"/>
              <w:rPr>
                <w:rFonts w:ascii="Arial" w:hAnsi="Arial" w:eastAsia="Arial" w:cs="Arial"/>
                <w:sz w:val="18"/>
                <w:szCs w:val="18"/>
              </w:rPr>
            </w:pPr>
            <w:r>
              <w:rPr>
                <w:rFonts w:eastAsia="Arial" w:cs="Arial" w:ascii="Arial" w:hAnsi="Arial"/>
                <w:sz w:val="18"/>
                <w:szCs w:val="18"/>
              </w:rPr>
              <w:t>Conditions:</w:t>
            </w:r>
          </w:p>
        </w:tc>
        <w:tc>
          <w:tcPr>
            <w:tcW w:w="811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w:cs="Arial" w:ascii="Arial" w:hAnsi="Arial"/>
                <w:sz w:val="18"/>
                <w:szCs w:val="18"/>
              </w:rPr>
              <w:t xml:space="preserve">(1) For the term of this Agreement, Buyer has the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right but not the obligation </w:t>
            </w:r>
            <w:r>
              <w:rPr>
                <w:rFonts w:eastAsia="Arial" w:cs="Arial" w:ascii="Arial" w:hAnsi="Arial"/>
                <w:sz w:val="18"/>
                <w:szCs w:val="18"/>
              </w:rPr>
              <w:fldChar w:fldCharType="begin"/>
            </w:r>
            <w:r>
              <w:rPr>
                <w:sz w:val="18"/>
                <w:szCs w:val="18"/>
                <w:rFonts w:eastAsia="Arial" w:cs="Arial" w:ascii="Arial" w:hAnsi="Arial"/>
              </w:rPr>
              <w:instrText xml:space="preserve"> MERGEFIELD OptPurchaserRole </w:instrText>
            </w:r>
            <w:r>
              <w:rPr>
                <w:sz w:val="18"/>
                <w:szCs w:val="18"/>
                <w:rFonts w:eastAsia="Arial" w:cs="Arial" w:ascii="Arial" w:hAnsi="Arial"/>
              </w:rPr>
              <w:fldChar w:fldCharType="separate"/>
            </w:r>
            <w:r>
              <w:rPr>
                <w:sz w:val="18"/>
                <w:szCs w:val="18"/>
                <w:rFonts w:eastAsia="Arial" w:cs="Arial" w:ascii="Arial" w:hAnsi="Arial"/>
              </w:rPr>
              <w:t>to purchase and receive</w:t>
            </w:r>
            <w:r>
              <w:rPr>
                <w:sz w:val="18"/>
                <w:szCs w:val="18"/>
                <w:rFonts w:eastAsia="Arial" w:cs="Arial" w:ascii="Arial" w:hAnsi="Arial"/>
              </w:rPr>
              <w:fldChar w:fldCharType="end"/>
            </w:r>
            <w:r>
              <w:rPr>
                <w:rFonts w:eastAsia="Arial" w:cs="Arial" w:ascii="Arial" w:hAnsi="Arial"/>
                <w:sz w:val="18"/>
                <w:szCs w:val="18"/>
              </w:rPr>
              <w:t xml:space="preserve"> 100%</w:t>
            </w: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 xml:space="preserve"> of the Energy and Capacity from the Units </w:t>
            </w:r>
            <w:r>
              <w:rPr>
                <w:sz w:val="18"/>
                <w:szCs w:val="18"/>
                <w:rFonts w:eastAsia="Arial" w:cs="Arial" w:ascii="Arial" w:hAnsi="Arial"/>
              </w:rPr>
              <w:fldChar w:fldCharType="end"/>
            </w:r>
            <w:r>
              <w:rPr>
                <w:rFonts w:eastAsia="Arial" w:cs="Arial" w:ascii="Arial" w:hAnsi="Arial"/>
                <w:sz w:val="18"/>
                <w:szCs w:val="18"/>
              </w:rPr>
              <w:t xml:space="preserve">in the minimum blocks specified above at the Contract Price specified above.  In order to exercise its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option, Buyer must provide telephone notice to Seller, no later than 10:15 a.m. EPT on the prior Business Day.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(2) If the Option is properly exercised, the parties shall be obligated to schedule, deliver and receive the Energy and Capacity for the period for which the Option is exercised, subject to the scheduling limitations herein.</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(3) NCPH agrees that it shall not conduct any scheduled outages for either Unit during the Term of this Transaction.  In the event that either Unit becomes partially unavailable for any reason, NCPH shall provide CPL the remaining MWs of capacity available from the affected Unit for the applicable period.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(4) NCPH shall be excused from delivering all or part of the scheduled Energy to the extent that the designated Unit is not available as a result of Force Majeure.  In such case, CPL’s sole remedy and NCPH’s sole liability shall be the Capacity Charge Refund calculated pursuant to paragraph (5).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pPr>
            <w:r>
              <w:rPr>
                <w:rFonts w:eastAsia="Arial" w:cs="Arial" w:ascii="Arial" w:hAnsi="Arial"/>
                <w:sz w:val="18"/>
                <w:szCs w:val="18"/>
              </w:rPr>
              <w:t>To the extent one or both of the Units are fully or partially unavailable as a result of an outage that is not due to Force Majeure, NCPH shall have the option to supply the Energy to CPL from other resources an an “Into CPL East Control Area, Seller’s daily choice” basis, as such product is defined in the form EEI Master Purchase and Sales Agreement Version 2.1 (modified April 25, 2000) and Schedule P thereto; provided, however, that if no Interface is available, Buyer’s sole remedy for such unavailability of the Units is a Capacity Charge Refund, calculated pursuant to paragraph (5) below.</w:t>
            </w:r>
            <w:r>
              <w:rPr>
                <w:sz w:val="20"/>
                <w:szCs w:val="20"/>
              </w:rPr>
              <w:t xml:space="preserve"> </w:t>
            </w:r>
          </w:p>
          <w:p>
            <w:pPr>
              <w:pStyle w:val="Normal"/>
              <w:jc w:val="both"/>
              <w:rPr>
                <w:sz w:val="20"/>
                <w:szCs w:val="20"/>
              </w:rPr>
            </w:pPr>
            <w:r>
              <w:rPr>
                <w:sz w:val="20"/>
                <w:szCs w:val="20"/>
              </w:rPr>
            </w:r>
          </w:p>
          <w:p>
            <w:pPr>
              <w:pStyle w:val="Normal"/>
              <w:jc w:val="both"/>
              <w:rPr>
                <w:rFonts w:ascii="Arial" w:hAnsi="Arial" w:eastAsia="Arial" w:cs="Arial"/>
                <w:sz w:val="18"/>
                <w:szCs w:val="18"/>
              </w:rPr>
            </w:pPr>
            <w:r>
              <w:rPr>
                <w:rFonts w:eastAsia="Arial" w:cs="Arial" w:ascii="Arial" w:hAnsi="Arial"/>
                <w:sz w:val="18"/>
                <w:szCs w:val="18"/>
              </w:rPr>
              <w:t xml:space="preserve">(5) If, for any reason other than Force Majeure, NCPH fails to deliver Energy or make Capacity available pursuant to this Transaction, and the Units are available for less than 95% of the Peak Hours during which Energy was timely scheduled by CPL, then NCPH shall refund Capacity Charges according to the following formulae (the “Capacity Charge Refund”).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For purposes of calculating the Actual Availability Factor, the months of June, July, and August shall be treated as one period called the “Summer Period”, and the months of May, September, October, November, and December shall be treated as one period called the “Winter Period”. </w:t>
            </w:r>
          </w:p>
          <w:p>
            <w:pPr>
              <w:pStyle w:val="Normal"/>
              <w:ind w:start="612" w:end="0"/>
              <w:rPr>
                <w:rFonts w:ascii="Arial" w:hAnsi="Arial" w:eastAsia="Arial" w:cs="Arial"/>
                <w:b/>
                <w:bCs/>
                <w:color w:val="000000"/>
                <w:sz w:val="18"/>
                <w:szCs w:val="18"/>
              </w:rPr>
            </w:pPr>
            <w:r>
              <w:rPr>
                <w:rFonts w:eastAsia="Arial" w:cs="Arial" w:ascii="Arial" w:hAnsi="Arial"/>
                <w:b/>
                <w:bCs/>
                <w:color w:val="000000"/>
                <w:sz w:val="18"/>
                <w:szCs w:val="18"/>
              </w:rPr>
            </w:r>
          </w:p>
          <w:p>
            <w:pPr>
              <w:pStyle w:val="Normal"/>
              <w:ind w:start="702" w:end="0"/>
              <w:rPr>
                <w:rFonts w:ascii="Arial" w:hAnsi="Arial" w:eastAsia="Arial" w:cs="Arial"/>
                <w:b/>
                <w:bCs/>
                <w:color w:val="000000"/>
                <w:sz w:val="18"/>
                <w:szCs w:val="18"/>
              </w:rPr>
            </w:pPr>
            <w:r>
              <w:rPr>
                <w:rFonts w:eastAsia="Arial" w:cs="Arial" w:ascii="Arial" w:hAnsi="Arial"/>
                <w:b/>
                <w:bCs/>
                <w:color w:val="000000"/>
                <w:sz w:val="18"/>
                <w:szCs w:val="18"/>
              </w:rPr>
              <w:t>AAF = ((PxC)-M)/(PxC)</w:t>
            </w:r>
          </w:p>
          <w:p>
            <w:pPr>
              <w:pStyle w:val="Normal"/>
              <w:ind w:start="702" w:end="0"/>
              <w:rPr>
                <w:rFonts w:ascii="Arial" w:hAnsi="Arial" w:eastAsia="Arial" w:cs="Arial"/>
                <w:b/>
                <w:bCs/>
                <w:color w:val="000000"/>
                <w:sz w:val="18"/>
                <w:szCs w:val="18"/>
              </w:rPr>
            </w:pPr>
            <w:r>
              <w:rPr>
                <w:rFonts w:eastAsia="Arial" w:cs="Arial" w:ascii="Arial" w:hAnsi="Arial"/>
                <w:b/>
                <w:bCs/>
                <w:color w:val="000000"/>
                <w:sz w:val="18"/>
                <w:szCs w:val="18"/>
              </w:rPr>
            </w:r>
          </w:p>
          <w:p>
            <w:pPr>
              <w:pStyle w:val="Normal"/>
              <w:ind w:start="702" w:end="0"/>
              <w:rPr>
                <w:rFonts w:ascii="Arial" w:hAnsi="Arial" w:eastAsia="Arial" w:cs="Arial"/>
                <w:b/>
                <w:bCs/>
                <w:sz w:val="18"/>
                <w:szCs w:val="18"/>
              </w:rPr>
            </w:pPr>
            <w:r>
              <w:rPr>
                <w:rFonts w:eastAsia="Arial" w:cs="Arial" w:ascii="Arial" w:hAnsi="Arial"/>
                <w:b/>
                <w:bCs/>
                <w:sz w:val="18"/>
                <w:szCs w:val="18"/>
              </w:rPr>
              <w:t>Where:</w:t>
            </w:r>
          </w:p>
          <w:p>
            <w:pPr>
              <w:pStyle w:val="Normal"/>
              <w:ind w:start="702" w:end="0"/>
              <w:rPr>
                <w:rFonts w:ascii="Arial" w:hAnsi="Arial" w:eastAsia="Arial" w:cs="Arial"/>
                <w:b/>
                <w:bCs/>
                <w:sz w:val="18"/>
                <w:szCs w:val="18"/>
              </w:rPr>
            </w:pPr>
            <w:r>
              <w:rPr>
                <w:rFonts w:eastAsia="Arial" w:cs="Arial" w:ascii="Arial" w:hAnsi="Arial"/>
                <w:b/>
                <w:bCs/>
                <w:sz w:val="18"/>
                <w:szCs w:val="18"/>
              </w:rPr>
            </w:r>
          </w:p>
          <w:p>
            <w:pPr>
              <w:pStyle w:val="Normal"/>
              <w:ind w:start="702" w:end="0"/>
              <w:rPr/>
            </w:pPr>
            <w:r>
              <w:rPr>
                <w:rFonts w:eastAsia="Arial" w:cs="Arial" w:ascii="Arial" w:hAnsi="Arial"/>
                <w:b/>
                <w:bCs/>
                <w:color w:val="000000"/>
                <w:sz w:val="18"/>
                <w:szCs w:val="18"/>
              </w:rPr>
              <w:t>AAF</w:t>
            </w:r>
            <w:r>
              <w:rPr>
                <w:rFonts w:eastAsia="Arial" w:cs="Arial" w:ascii="Arial" w:hAnsi="Arial"/>
                <w:color w:val="000000"/>
                <w:sz w:val="18"/>
                <w:szCs w:val="18"/>
              </w:rPr>
              <w:t xml:space="preserve"> = The Actual Availability Factor, with this value expressed as a percentage to 3 decimal points.</w:t>
            </w:r>
          </w:p>
          <w:p>
            <w:pPr>
              <w:pStyle w:val="Normal"/>
              <w:ind w:start="702" w:end="0"/>
              <w:rPr>
                <w:rFonts w:ascii="Arial" w:hAnsi="Arial" w:eastAsia="Arial" w:cs="Arial"/>
                <w:color w:val="000000"/>
                <w:sz w:val="18"/>
                <w:szCs w:val="18"/>
              </w:rPr>
            </w:pPr>
            <w:r>
              <w:rPr>
                <w:rFonts w:eastAsia="Arial" w:cs="Arial" w:ascii="Arial" w:hAnsi="Arial"/>
                <w:color w:val="000000"/>
                <w:sz w:val="18"/>
                <w:szCs w:val="18"/>
              </w:rPr>
            </w:r>
          </w:p>
          <w:p>
            <w:pPr>
              <w:pStyle w:val="Normal"/>
              <w:ind w:start="702" w:end="0"/>
              <w:rPr/>
            </w:pPr>
            <w:r>
              <w:rPr>
                <w:rFonts w:eastAsia="Arial" w:cs="Arial" w:ascii="Arial" w:hAnsi="Arial"/>
                <w:b/>
                <w:bCs/>
                <w:color w:val="000000"/>
                <w:sz w:val="18"/>
                <w:szCs w:val="18"/>
              </w:rPr>
              <w:t xml:space="preserve">P </w:t>
            </w:r>
            <w:r>
              <w:rPr>
                <w:rFonts w:eastAsia="Arial" w:cs="Arial" w:ascii="Arial" w:hAnsi="Arial"/>
                <w:color w:val="000000"/>
                <w:sz w:val="18"/>
                <w:szCs w:val="18"/>
              </w:rPr>
              <w:t>= The total number of cumulative Peak Hours during the months of June, July, and August for the Summer Period or during the months of May, September, October, November, and December for the Winter Period, where Peak Hours means HE 0800 through 2300 Monday through Friday EPT, excluding NERC holidays</w:t>
            </w:r>
          </w:p>
          <w:p>
            <w:pPr>
              <w:pStyle w:val="Normal"/>
              <w:ind w:start="702" w:end="0"/>
              <w:rPr/>
            </w:pPr>
            <w:r>
              <w:rPr>
                <w:rFonts w:eastAsia="Arial" w:cs="Arial" w:ascii="Arial" w:hAnsi="Arial"/>
                <w:b/>
                <w:bCs/>
                <w:color w:val="000000"/>
                <w:sz w:val="18"/>
                <w:szCs w:val="18"/>
              </w:rPr>
              <w:t>C</w:t>
            </w:r>
            <w:r>
              <w:rPr>
                <w:rFonts w:eastAsia="Arial" w:cs="Arial" w:ascii="Arial" w:hAnsi="Arial"/>
                <w:color w:val="000000"/>
                <w:sz w:val="18"/>
                <w:szCs w:val="18"/>
              </w:rPr>
              <w:t xml:space="preserve"> = 70 MW (the combined assumed capacity of the Units for each month) </w:t>
            </w:r>
          </w:p>
          <w:p>
            <w:pPr>
              <w:pStyle w:val="Normal"/>
              <w:ind w:start="702" w:end="0"/>
              <w:rPr/>
            </w:pPr>
            <w:r>
              <w:rPr>
                <w:rFonts w:eastAsia="Arial" w:cs="Arial" w:ascii="Arial" w:hAnsi="Arial"/>
                <w:b/>
                <w:bCs/>
                <w:color w:val="000000"/>
                <w:sz w:val="18"/>
                <w:szCs w:val="18"/>
              </w:rPr>
              <w:t>M</w:t>
            </w:r>
            <w:r>
              <w:rPr>
                <w:rFonts w:eastAsia="Arial" w:cs="Arial" w:ascii="Arial" w:hAnsi="Arial"/>
                <w:color w:val="000000"/>
                <w:sz w:val="18"/>
                <w:szCs w:val="18"/>
              </w:rPr>
              <w:t xml:space="preserve"> = The cumulative number of MWhs scheduled during Peak Hours by the Buyer that the Seller fails to deliver (except where such failure is excused by Force Majeure), during the months of June, July, and August for the Summer Period or during the months of May, September, October, November, and December for the Winter Period</w:t>
            </w:r>
          </w:p>
          <w:p>
            <w:pPr>
              <w:pStyle w:val="Normal"/>
              <w:ind w:start="-18" w:end="0"/>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color w:val="000000"/>
                <w:sz w:val="18"/>
                <w:szCs w:val="18"/>
              </w:rPr>
              <w:t xml:space="preserve">A Capacity Charge Refund for a period shall equal the sum of the refund amounts for each month in the period, in each case, (i) using only the positive difference between 95% and the Actual Availability Factor calculated above for the relevant period and (ii) weighting the </w:t>
            </w:r>
            <w:r>
              <w:rPr>
                <w:rFonts w:eastAsia="Arial" w:cs="Arial" w:ascii="Arial" w:hAnsi="Arial"/>
                <w:sz w:val="18"/>
                <w:szCs w:val="18"/>
              </w:rPr>
              <w:t xml:space="preserve">unavailability factor for the Units to reflect the month in which such unavailability occurs as provided below in the definition of </w:t>
            </w:r>
            <w:r>
              <w:rPr>
                <w:rFonts w:eastAsia="Arial" w:cs="Arial" w:ascii="Arial" w:hAnsi="Arial"/>
                <w:b/>
                <w:bCs/>
                <w:sz w:val="18"/>
                <w:szCs w:val="18"/>
              </w:rPr>
              <w:t>WAF</w:t>
            </w:r>
            <w:r>
              <w:rPr>
                <w:rFonts w:eastAsia="Arial" w:cs="Arial" w:ascii="Arial" w:hAnsi="Arial"/>
                <w:sz w:val="18"/>
                <w:szCs w:val="18"/>
              </w:rPr>
              <w:t xml:space="preserve">.  </w:t>
            </w:r>
          </w:p>
          <w:p>
            <w:pPr>
              <w:pStyle w:val="Normal"/>
              <w:ind w:start="-18" w:end="0"/>
              <w:rPr>
                <w:rFonts w:ascii="Arial" w:hAnsi="Arial" w:eastAsia="Arial" w:cs="Arial"/>
                <w:color w:val="000000"/>
                <w:sz w:val="22"/>
                <w:szCs w:val="22"/>
              </w:rPr>
            </w:pPr>
            <w:r>
              <w:rPr>
                <w:rFonts w:eastAsia="Arial" w:cs="Arial" w:ascii="Arial" w:hAnsi="Arial"/>
                <w:color w:val="000000"/>
                <w:sz w:val="22"/>
                <w:szCs w:val="22"/>
              </w:rPr>
            </w:r>
          </w:p>
          <w:p>
            <w:pPr>
              <w:pStyle w:val="Normal"/>
              <w:ind w:start="612" w:end="0"/>
              <w:rPr/>
            </w:pPr>
            <w:r>
              <w:rPr>
                <w:rFonts w:eastAsia="Arial" w:cs="Arial" w:ascii="Arial" w:hAnsi="Arial"/>
                <w:b/>
                <w:bCs/>
                <w:color w:val="000000"/>
                <w:sz w:val="18"/>
                <w:szCs w:val="18"/>
              </w:rPr>
              <w:t xml:space="preserve">Capacity Charge Refund = </w:t>
            </w:r>
            <w:r>
              <w:rPr>
                <w:rFonts w:eastAsia="Symbol" w:cs="Symbol" w:ascii="Symbol" w:hAnsi="Symbol"/>
                <w:b/>
                <w:bCs/>
                <w:color w:val="000000"/>
                <w:sz w:val="18"/>
                <w:szCs w:val="18"/>
              </w:rPr>
              <w:sym w:font="Symbol" w:char="53"/>
            </w:r>
            <w:r>
              <w:rPr>
                <w:rFonts w:eastAsia="Arial" w:cs="Arial" w:ascii="Arial" w:hAnsi="Arial"/>
                <w:b/>
                <w:bCs/>
                <w:color w:val="000000"/>
                <w:sz w:val="18"/>
                <w:szCs w:val="18"/>
              </w:rPr>
              <w:t xml:space="preserve"> |(CUA – AAF)| (WAF) (CC)  </w:t>
            </w:r>
          </w:p>
          <w:p>
            <w:pPr>
              <w:pStyle w:val="Normal"/>
              <w:ind w:start="2160" w:end="0"/>
              <w:rPr>
                <w:rFonts w:ascii="Arial" w:hAnsi="Arial" w:eastAsia="Arial" w:cs="Arial"/>
                <w:b/>
                <w:bCs/>
                <w:color w:val="000000"/>
                <w:sz w:val="18"/>
                <w:szCs w:val="18"/>
              </w:rPr>
            </w:pPr>
            <w:r>
              <w:rPr>
                <w:rFonts w:eastAsia="Arial" w:cs="Arial" w:ascii="Arial" w:hAnsi="Arial"/>
                <w:b/>
                <w:bCs/>
                <w:color w:val="000000"/>
                <w:sz w:val="18"/>
                <w:szCs w:val="18"/>
              </w:rPr>
            </w:r>
          </w:p>
          <w:p>
            <w:pPr>
              <w:pStyle w:val="Normal"/>
              <w:ind w:start="702" w:end="0"/>
              <w:rPr>
                <w:rFonts w:ascii="Arial" w:hAnsi="Arial" w:eastAsia="Arial" w:cs="Arial"/>
                <w:b/>
                <w:bCs/>
                <w:color w:val="000000"/>
                <w:sz w:val="18"/>
                <w:szCs w:val="18"/>
              </w:rPr>
            </w:pPr>
            <w:r>
              <w:rPr>
                <w:rFonts w:eastAsia="Arial" w:cs="Arial" w:ascii="Arial" w:hAnsi="Arial"/>
                <w:b/>
                <w:bCs/>
                <w:color w:val="000000"/>
                <w:sz w:val="18"/>
                <w:szCs w:val="18"/>
              </w:rPr>
              <w:t>Where:</w:t>
            </w:r>
          </w:p>
          <w:p>
            <w:pPr>
              <w:pStyle w:val="Normal"/>
              <w:ind w:start="702" w:end="0"/>
              <w:rPr>
                <w:rFonts w:ascii="Arial" w:hAnsi="Arial" w:eastAsia="Arial" w:cs="Arial"/>
                <w:b/>
                <w:bCs/>
                <w:color w:val="000000"/>
                <w:sz w:val="18"/>
                <w:szCs w:val="18"/>
              </w:rPr>
            </w:pPr>
            <w:r>
              <w:rPr>
                <w:rFonts w:eastAsia="Arial" w:cs="Arial" w:ascii="Arial" w:hAnsi="Arial"/>
                <w:b/>
                <w:bCs/>
                <w:color w:val="000000"/>
                <w:sz w:val="18"/>
                <w:szCs w:val="18"/>
              </w:rPr>
            </w:r>
          </w:p>
          <w:p>
            <w:pPr>
              <w:pStyle w:val="Normal"/>
              <w:ind w:start="702" w:end="0"/>
              <w:rPr/>
            </w:pPr>
            <w:r>
              <w:rPr>
                <w:rFonts w:eastAsia="Arial" w:cs="Arial" w:ascii="Arial" w:hAnsi="Arial"/>
                <w:b/>
                <w:bCs/>
                <w:color w:val="000000"/>
                <w:sz w:val="18"/>
                <w:szCs w:val="18"/>
              </w:rPr>
              <w:t xml:space="preserve">CUA </w:t>
            </w:r>
            <w:r>
              <w:rPr>
                <w:rFonts w:eastAsia="Arial" w:cs="Arial" w:ascii="Arial" w:hAnsi="Arial"/>
                <w:color w:val="000000"/>
                <w:sz w:val="18"/>
                <w:szCs w:val="18"/>
              </w:rPr>
              <w:t>= 95% (assumed Combined Unit Availability)</w:t>
            </w:r>
          </w:p>
          <w:p>
            <w:pPr>
              <w:pStyle w:val="Normal"/>
              <w:ind w:start="702" w:end="0"/>
              <w:rPr/>
            </w:pPr>
            <w:r>
              <w:rPr>
                <w:rFonts w:eastAsia="Arial" w:cs="Arial" w:ascii="Arial" w:hAnsi="Arial"/>
                <w:b/>
                <w:bCs/>
                <w:color w:val="000000"/>
                <w:sz w:val="18"/>
                <w:szCs w:val="18"/>
              </w:rPr>
              <w:t>WAF =</w:t>
            </w:r>
            <w:r>
              <w:rPr>
                <w:rFonts w:eastAsia="Arial" w:cs="Arial" w:ascii="Arial" w:hAnsi="Arial"/>
                <w:color w:val="000000"/>
                <w:sz w:val="18"/>
                <w:szCs w:val="18"/>
              </w:rPr>
              <w:t xml:space="preserve"> Weighted Availability Factor --  the total number of MWhs scheduled during Peak Hours by the Buyer that the Seller fails to deliver (except where such failure is excused by Force Majeure), during the month divided by </w:t>
            </w:r>
            <w:r>
              <w:rPr>
                <w:rFonts w:eastAsia="Arial" w:cs="Arial" w:ascii="Arial" w:hAnsi="Arial"/>
                <w:b/>
                <w:bCs/>
                <w:color w:val="000000"/>
                <w:sz w:val="18"/>
                <w:szCs w:val="18"/>
              </w:rPr>
              <w:t>M</w:t>
            </w:r>
            <w:r>
              <w:rPr>
                <w:rFonts w:eastAsia="Arial" w:cs="Arial" w:ascii="Arial" w:hAnsi="Arial"/>
                <w:color w:val="000000"/>
                <w:sz w:val="18"/>
                <w:szCs w:val="18"/>
              </w:rPr>
              <w:t>, as defined above</w:t>
            </w:r>
          </w:p>
          <w:p>
            <w:pPr>
              <w:pStyle w:val="Normal"/>
              <w:ind w:start="702" w:end="0"/>
              <w:rPr/>
            </w:pPr>
            <w:r>
              <w:rPr>
                <w:rFonts w:eastAsia="Arial" w:cs="Arial" w:ascii="Arial" w:hAnsi="Arial"/>
                <w:b/>
                <w:bCs/>
                <w:color w:val="000000"/>
                <w:sz w:val="18"/>
                <w:szCs w:val="18"/>
              </w:rPr>
              <w:t xml:space="preserve">CC </w:t>
            </w:r>
            <w:r>
              <w:rPr>
                <w:rFonts w:eastAsia="Arial" w:cs="Arial" w:ascii="Arial" w:hAnsi="Arial"/>
                <w:color w:val="000000"/>
                <w:sz w:val="18"/>
                <w:szCs w:val="18"/>
              </w:rPr>
              <w:t>= Capacity Charge the month in the relevant period</w:t>
            </w:r>
          </w:p>
          <w:p>
            <w:pPr>
              <w:pStyle w:val="Normal"/>
              <w:ind w:start="702" w:end="0"/>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A sample calculation of the Capacity Charge Refund is attached as Appendix A.  NCPH’s sole liability for failure to deliver scheduled energy shall be limited to the Capacity Charge Refund, which shall be no greater than the Capacity Charges which NCPH actually receives from CPL.  The Capacity Charge Refund for the Summer Period shall be calculated by Seller no later than ten (10) days after the last Business Day in August, 2001 and, if any amount is owed, paid to Buyer within fifteen (15) days thereafter.  The Capacity Charge Refund for the Winter Period shall be calculated by Seller no later than ten (10) days after the last Business Day in December, 2001 and, if any amount is owed, paid to Buyer within fifteen (15) days thereafter.  </w:t>
            </w:r>
          </w:p>
          <w:p>
            <w:pPr>
              <w:pStyle w:val="Normal"/>
              <w:jc w:val="both"/>
              <w:rPr>
                <w:rFonts w:ascii="Arial" w:hAnsi="Arial" w:eastAsia="Arial" w:cs="Arial"/>
                <w:sz w:val="18"/>
                <w:szCs w:val="18"/>
              </w:rPr>
            </w:pPr>
            <w:r>
              <w:rPr>
                <w:rFonts w:eastAsia="Arial" w:cs="Arial" w:ascii="Arial" w:hAnsi="Arial"/>
                <w:sz w:val="18"/>
                <w:szCs w:val="18"/>
              </w:rPr>
            </w:r>
          </w:p>
          <w:p>
            <w:pPr>
              <w:pStyle w:val="Heading2"/>
              <w:ind w:hanging="0" w:end="0"/>
              <w:rPr>
                <w:rFonts w:ascii="Arial" w:hAnsi="Arial" w:eastAsia="Arial" w:cs="Arial"/>
                <w:sz w:val="18"/>
                <w:szCs w:val="18"/>
              </w:rPr>
            </w:pPr>
            <w:r>
              <w:rPr>
                <w:rFonts w:eastAsia="Arial" w:cs="Arial" w:ascii="Arial" w:hAnsi="Arial"/>
                <w:sz w:val="18"/>
                <w:szCs w:val="18"/>
              </w:rPr>
              <w:t>(6) If Buyer fails to receive all or part of the scheduled Energy and such failure is not excused under paragraph (__) above or by Seller’s failure to perform, then Buyer shall pay Seller,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Seller, acting in a commercially reasonable manner, resells the Energy not received by Buyer, deducting from such proceeds any (i) costs reasonably incurred by Seller in reselling such Energy and (ii) additional transmission charges, if any, reasonably incurred by Seller in delivering such Energy to the third party purchasers, or absent a sale, the market price at the Delivery Point for such Energy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Energy to the extent Seller shall have entered into one or more arrangements in a commercially reasonable manner whereby Seller repurchases its obligation to purchase and receive the Energy from another party at the Delivery Point.</w:t>
            </w:r>
          </w:p>
          <w:p>
            <w:pPr>
              <w:pStyle w:val="Normal"/>
              <w:jc w:val="both"/>
              <w:rPr>
                <w:rFonts w:ascii="Arial" w:hAnsi="Arial" w:eastAsia="Arial" w:cs="Arial"/>
                <w:sz w:val="18"/>
                <w:szCs w:val="18"/>
              </w:rPr>
            </w:pPr>
            <w:r>
              <w:rPr>
                <w:rFonts w:eastAsia="Arial" w:cs="Arial" w:ascii="Arial" w:hAnsi="Arial"/>
                <w:sz w:val="18"/>
                <w:szCs w:val="18"/>
              </w:rPr>
              <w:t xml:space="preserve">(7) The Parties’ obligations under this Transaction are conditioned on the execution of a Facility Interconnection and Operating Agreement providing for the interconneciton of the Units with Buyer’s 115kV system.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(8) If the creation of a Regional Transmission Organization (“RTO”) in the Southeast occurs during the Term, and such change affects a right or obligation of a Party under this Transaction, the Parties agree to negotiate in good faith in an attempt to amend this Transaction to incorporate such changes as they deem necessary to accommodate any changes in the CPL system as a result of or in connection with the establishment of the RTO or its operating rules, including the range of NCPH’s choice of Interfaces and the allocation of any additional costs and expenses.  The intent of the Parties is that any such amendment reflects, as closely as possible, the intent, substance, and economic bargain of the Transaction as was in effect prior to such change.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(9) In addition to the Events of Default set forth in Section 5 of Annex A, the occurrence of either a Downgrade Event (as defined below) or a Cross Default Event (as defined below) shall be an Event of Default as provided herein.  </w:t>
            </w:r>
          </w:p>
          <w:p>
            <w:pPr>
              <w:pStyle w:val="Normal"/>
              <w:jc w:val="both"/>
              <w:rPr>
                <w:rFonts w:ascii="Arial" w:hAnsi="Arial" w:eastAsia="Arial" w:cs="Arial"/>
                <w:sz w:val="18"/>
                <w:szCs w:val="18"/>
              </w:rPr>
            </w:pPr>
            <w:r>
              <w:rPr>
                <w:rFonts w:eastAsia="Arial" w:cs="Arial" w:ascii="Arial" w:hAnsi="Arial"/>
                <w:sz w:val="18"/>
                <w:szCs w:val="18"/>
              </w:rPr>
              <w:t>(a) A Downgrade Event shall be an Event of Default unless within five (5) Business Days after requested by the non-defaulting Party, the Defaulting Party establishes and maintains for so long as the Downgrade Event is continuing either cash or letters of credit in form and amount acceptable to the non-defaulting Party.  “Downgrade Event” means (i) with respect to NCPH, its Guarantor shall have long-term, senior unsecured debt not supported by third party credit enhancement that (x) is rated by S&amp;P below ”BBB-“ or (y) is rated by Moody’s below “Baa3” or (z) is not rated by either S&amp;P and/or Moody’s or (ii) with espect to CPL, if CPL shall have long-term, senior unsecured debt not supported by third party credit enhancement that (x) is rated by S&amp;P below ”BBB-“ or (y) is rated by Moody’s below “Baa3” or (z) is not rated by either S&amp;P and/or Moody’s.</w:t>
            </w:r>
          </w:p>
          <w:p>
            <w:pPr>
              <w:pStyle w:val="Normal"/>
              <w:jc w:val="both"/>
              <w:rPr>
                <w:rFonts w:ascii="Arial" w:hAnsi="Arial" w:eastAsia="Arial" w:cs="Arial"/>
                <w:sz w:val="18"/>
                <w:szCs w:val="18"/>
              </w:rPr>
            </w:pPr>
            <w:r>
              <w:rPr>
                <w:rFonts w:eastAsia="Arial" w:cs="Arial" w:ascii="Arial" w:hAnsi="Arial"/>
                <w:sz w:val="18"/>
                <w:szCs w:val="18"/>
              </w:rPr>
              <w:t>(b) “Cross Default Event” means, (i) with respect to CPL, the occurrence and continuation of (x) a default, event of default or other similar condition or event in respect of CPL under one or more agreements or instruments, individually or collectively, relating to indebtedness for borrowed money in an aggregate amount of not less than $50,000,000.00, which results in such indebtedness becoming, or becoming capable at such time of being declared, immediately due and payable or (y) a default by CPL in making on the due date therefor one or more payments, individually or collectively, in an aggregate amount of not less than $50,000,000.00; and (ii) with respect to NCPH, the occurrence and continuation of (x) a default, event of default or other similar condition or event in respect of its Guarantor under one or more agreements or instruments, individually or collectively, relating to indebtedness for borrowed money in an aggregate amount of not less than $100,000,000.00, which results in such indebtedness becoming, or becoming capable at such time of being declared, immediately due and payable or (y) a default by its Guarantor in making on the due date therefor one or more payments, individually or collectively, in an aggregate amount of not less than $100,000,000.00.</w:t>
            </w:r>
          </w:p>
        </w:tc>
      </w:tr>
      <w:tr>
        <w:trPr/>
        <w:tc>
          <w:tcPr>
            <w:tcW w:w="145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8118" w:type="dxa"/>
            <w:tcBorders>
              <w:top w:val="dashed" w:sz="6" w:space="0" w:color="auto"/>
              <w:start w:val="dashed" w:sz="6" w:space="0" w:color="auto"/>
              <w:bottom w:val="dashed" w:sz="6" w:space="0" w:color="auto"/>
              <w:end w:val="dashed" w:sz="6" w:space="0" w:color="auto"/>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r>
    </w:tbl>
    <w:p>
      <w:pPr>
        <w:pStyle w:val="Normal"/>
        <w:tabs>
          <w:tab w:val="clear" w:pos="720"/>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3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This Confirmation for a call option on Energy and Capacity is being provided pursuant to and in accordance with the terms set forth in Annex A attached hereto and constitutes part of and is subject to all the terms and proviiosn o fsuch Annex A.  Terms used but not defined herein shall have the meanings ascribed to them in Annex A.  Notwithstanding any contrary provisions in Annex A, any conflict between this Confirmation and Annex A shall be resolved in favor of this Confirmation (other than Annex A).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Please confirm that the terms stated herein accurately reflect the agreement between Buyer and Seller by returning an executed copy of this Confirmation by facsimile to Seller at </w:t>
      </w:r>
      <w:r>
        <w:rPr>
          <w:rFonts w:eastAsia="Arial" w:cs="Arial" w:ascii="Arial" w:hAnsi="Arial"/>
          <w:sz w:val="18"/>
          <w:szCs w:val="18"/>
        </w:rPr>
        <w:fldChar w:fldCharType="begin"/>
      </w:r>
      <w:r>
        <w:rPr>
          <w:sz w:val="18"/>
          <w:szCs w:val="18"/>
          <w:rFonts w:eastAsia="Arial" w:cs="Arial" w:ascii="Arial" w:hAnsi="Arial"/>
        </w:rPr>
        <w:instrText xml:space="preserve"> MERGEFIELD EnronFax </w:instrText>
      </w:r>
      <w:r>
        <w:rPr>
          <w:sz w:val="18"/>
          <w:szCs w:val="18"/>
          <w:rFonts w:eastAsia="Arial" w:cs="Arial" w:ascii="Arial" w:hAnsi="Arial"/>
        </w:rPr>
        <w:fldChar w:fldCharType="separate"/>
      </w:r>
      <w:r>
        <w:rPr>
          <w:sz w:val="18"/>
          <w:szCs w:val="18"/>
          <w:rFonts w:eastAsia="Arial" w:cs="Arial" w:ascii="Arial" w:hAnsi="Arial"/>
        </w:rPr>
        <w:t>(713) 646-2491</w:t>
      </w:r>
      <w:r>
        <w:rPr>
          <w:sz w:val="18"/>
          <w:szCs w:val="18"/>
          <w:rFonts w:eastAsia="Arial" w:cs="Arial" w:ascii="Arial" w:hAnsi="Arial"/>
        </w:rPr>
        <w:fldChar w:fldCharType="end"/>
      </w:r>
      <w:r>
        <w:rPr>
          <w:rFonts w:eastAsia="Arial" w:cs="Arial" w:ascii="Arial" w:hAnsi="Arial"/>
          <w:sz w:val="18"/>
          <w:szCs w:val="18"/>
        </w:rPr>
        <w:t xml:space="preserve">. Your response should reflect the appropriate party in your organization who has the authority to enter into this Confirmation.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op w:val="dashed" w:sz="6" w:space="0" w:color="auto"/>
              <w:start w:val="dashed" w:sz="6" w:space="0" w:color="auto"/>
              <w:bottom w:val="dashed" w:sz="6" w:space="0" w:color="auto"/>
              <w:end w:val="dashed" w:sz="6" w:space="0" w:color="auto"/>
            </w:tcBorders>
          </w:tcPr>
          <w:p>
            <w:pPr>
              <w:pStyle w:val="Normal"/>
              <w:keepNext w:val="true"/>
              <w:keepLines/>
              <w:rPr>
                <w:rFonts w:ascii="Arial" w:hAnsi="Arial" w:eastAsia="Arial" w:cs="Arial"/>
                <w:sz w:val="18"/>
                <w:szCs w:val="18"/>
              </w:rPr>
            </w:pPr>
            <w:r>
              <w:rPr>
                <w:rFonts w:eastAsia="Arial" w:cs="Arial" w:ascii="Arial" w:hAnsi="Arial"/>
                <w:sz w:val="18"/>
                <w:szCs w:val="18"/>
              </w:rPr>
              <w:t>Carolina Power &amp; Light Company</w:t>
            </w:r>
          </w:p>
        </w:tc>
        <w:tc>
          <w:tcPr>
            <w:tcW w:w="4518" w:type="dxa"/>
            <w:tcBorders>
              <w:top w:val="dashed" w:sz="6" w:space="0" w:color="auto"/>
              <w:start w:val="dashed" w:sz="6" w:space="0" w:color="auto"/>
              <w:bottom w:val="dashed" w:sz="6" w:space="0" w:color="auto"/>
              <w:end w:val="dashed" w:sz="6" w:space="0" w:color="auto"/>
            </w:tcBorders>
          </w:tcPr>
          <w:p>
            <w:pPr>
              <w:pStyle w:val="Normal"/>
              <w:keepNext w:val="true"/>
              <w:keepLines/>
              <w:rPr>
                <w:rFonts w:ascii="Arial" w:hAnsi="Arial" w:eastAsia="Arial" w:cs="Arial"/>
                <w:sz w:val="18"/>
                <w:szCs w:val="18"/>
              </w:rPr>
            </w:pPr>
            <w:r>
              <w:rPr>
                <w:rFonts w:eastAsia="Arial" w:cs="Arial" w:ascii="Arial" w:hAnsi="Arial"/>
                <w:sz w:val="18"/>
                <w:szCs w:val="18"/>
              </w:rPr>
              <w:t>North Carolina Power Holdings LLC</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By:</w:t>
        <w:tab/>
        <w:t>__________________________</w:t>
        <w:tab/>
        <w:t>By:</w:t>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Name:</w:t>
        <w:tab/>
        <w:t>__________________________</w:t>
        <w:tab/>
        <w:t>Name:</w:t>
        <w:tab/>
        <w:t xml:space="preserve"> Ozzie Pagan</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eastAsia="Courier New" w:cs="Courier New"/>
          <w:b/>
          <w:bCs/>
        </w:rPr>
      </w:pPr>
      <w:r>
        <w:rPr>
          <w:rFonts w:eastAsia="Arial" w:cs="Arial" w:ascii="Arial" w:hAnsi="Arial"/>
          <w:sz w:val="18"/>
          <w:szCs w:val="18"/>
        </w:rPr>
        <w:t>Title:       __________________________</w:t>
        <w:tab/>
        <w:t>Title:        _________________</w:t>
      </w:r>
    </w:p>
    <w:p>
      <w:pPr>
        <w:sectPr>
          <w:type w:val="continuous"/>
          <w:pgSz w:w="12240" w:h="15840"/>
          <w:pgMar w:left="1440" w:right="1440" w:gutter="0" w:header="720" w:top="776" w:footer="720" w:bottom="776"/>
          <w:formProt w:val="false"/>
          <w:textDirection w:val="lrTb"/>
        </w:sectPr>
      </w:pPr>
    </w:p>
    <w:p>
      <w:pPr>
        <w:pStyle w:val="Heading1"/>
        <w:numPr>
          <w:ilvl w:val="0"/>
          <w:numId w:val="0"/>
        </w:numPr>
        <w:rPr>
          <w:rFonts w:ascii="Courier New" w:hAnsi="Courier New" w:eastAsia="Courier New" w:cs="Courier New"/>
          <w:b/>
          <w:bCs/>
        </w:rPr>
      </w:pPr>
      <w:r>
        <w:rPr>
          <w:rFonts w:eastAsia="Courier New" w:cs="Courier New"/>
          <w:b/>
          <w:bCs/>
        </w:rPr>
      </w:r>
      <w:r>
        <w:br w:type="page"/>
      </w:r>
    </w:p>
    <w:p>
      <w:pPr>
        <w:pStyle w:val="Heading1"/>
        <w:numPr>
          <w:ilvl w:val="0"/>
          <w:numId w:val="0"/>
        </w:numPr>
        <w:rPr/>
      </w:pPr>
      <w:r>
        <w:rPr/>
      </w:r>
      <w:r>
        <w:br w:type="page"/>
      </w:r>
    </w:p>
    <w:p>
      <w:pPr>
        <w:pStyle w:val="Heading1"/>
        <w:ind w:hanging="0" w:start="0"/>
        <w:rPr>
          <w:rFonts w:ascii="Arial" w:hAnsi="Arial" w:eastAsia="Arial" w:cs="Arial"/>
          <w:sz w:val="18"/>
          <w:szCs w:val="18"/>
        </w:rPr>
      </w:pPr>
      <w:r>
        <w:rPr>
          <w:rFonts w:eastAsia="Arial" w:cs="Arial" w:ascii="Arial" w:hAnsi="Arial"/>
          <w:sz w:val="18"/>
          <w:szCs w:val="18"/>
        </w:rPr>
        <w:t>Annex A</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b/>
          <w:bCs/>
          <w:sz w:val="18"/>
          <w:szCs w:val="18"/>
        </w:rPr>
      </w:pPr>
      <w:r>
        <w:rPr>
          <w:rFonts w:eastAsia="Arial" w:cs="Arial" w:ascii="Arial" w:hAnsi="Arial"/>
          <w:b/>
          <w:bCs/>
          <w:sz w:val="18"/>
          <w:szCs w:val="18"/>
        </w:rPr>
      </w:r>
    </w:p>
    <w:p>
      <w:pPr>
        <w:pStyle w:val="Heading2"/>
        <w:jc w:val="center"/>
        <w:rPr>
          <w:rFonts w:ascii="Arial Narrow" w:hAnsi="Arial Narrow" w:eastAsia="Arial Narrow" w:cs="Arial Narrow"/>
          <w:b/>
          <w:bCs/>
          <w:smallCaps/>
          <w:sz w:val="20"/>
          <w:szCs w:val="20"/>
        </w:rPr>
      </w:pPr>
      <w:r>
        <w:rPr>
          <w:rFonts w:eastAsia="Arial Narrow" w:cs="Arial Narrow" w:ascii="Arial Narrow" w:hAnsi="Arial Narrow"/>
          <w:b/>
          <w:bCs/>
          <w:smallCaps/>
          <w:sz w:val="20"/>
          <w:szCs w:val="20"/>
        </w:rPr>
        <w:t>General Terms and Conditions of Confirmation</w:t>
      </w:r>
    </w:p>
    <w:p>
      <w:pPr>
        <w:pStyle w:val="Heading5"/>
        <w:rPr>
          <w:rFonts w:ascii="Arial" w:hAnsi="Arial" w:eastAsia="Arial" w:cs="Arial"/>
          <w:b w:val="false"/>
          <w:bCs w:val="false"/>
          <w:sz w:val="18"/>
          <w:szCs w:val="18"/>
        </w:rPr>
      </w:pPr>
      <w:r>
        <w:rPr>
          <w:rFonts w:eastAsia="Arial" w:cs="Arial" w:ascii="Arial" w:hAnsi="Arial"/>
          <w:b w:val="false"/>
          <w:bCs w:val="false"/>
          <w:sz w:val="18"/>
          <w:szCs w:val="18"/>
        </w:rPr>
        <w:t>Between NCPH and CPL Dated March __, 2001</w:t>
      </w:r>
    </w:p>
    <w:p>
      <w:pPr>
        <w:pStyle w:val="Heading2"/>
        <w:tabs>
          <w:tab w:val="left" w:pos="270" w:leader="none"/>
          <w:tab w:val="left" w:pos="1080" w:leader="none"/>
        </w:tabs>
        <w:spacing w:before="120" w:after="240"/>
        <w:ind w:hanging="0" w:end="0"/>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ing2"/>
        <w:numPr>
          <w:ilvl w:val="0"/>
          <w:numId w:val="2"/>
        </w:numPr>
        <w:tabs>
          <w:tab w:val="clear" w:pos="1080"/>
          <w:tab w:val="left" w:pos="0" w:leader="none"/>
          <w:tab w:val="left" w:pos="720" w:leader="none"/>
        </w:tabs>
        <w:spacing w:before="120" w:after="240"/>
        <w:ind w:hanging="720" w:start="720" w:end="0"/>
        <w:rPr>
          <w:rFonts w:ascii="Arial Narrow" w:hAnsi="Arial Narrow" w:eastAsia="Arial Narrow" w:cs="Arial Narrow"/>
          <w:sz w:val="20"/>
          <w:szCs w:val="20"/>
        </w:rPr>
      </w:pPr>
      <w:r>
        <w:rPr>
          <w:rFonts w:eastAsia="Arial Narrow" w:cs="Arial Narrow" w:ascii="Arial Narrow" w:hAnsi="Arial Narrow"/>
          <w:sz w:val="20"/>
          <w:szCs w:val="20"/>
        </w:rPr>
        <w:t xml:space="preserve">This Annex A supplements, forms part of, and is incorporated into the Confirmation to which this Annex A is attached.  </w:t>
      </w:r>
    </w:p>
    <w:p>
      <w:pPr>
        <w:pStyle w:val="Heading2"/>
        <w:numPr>
          <w:ilvl w:val="0"/>
          <w:numId w:val="2"/>
        </w:numPr>
        <w:tabs>
          <w:tab w:val="clear" w:pos="1080"/>
          <w:tab w:val="left" w:pos="0" w:leader="none"/>
          <w:tab w:val="left" w:pos="720" w:leader="none"/>
        </w:tabs>
        <w:spacing w:before="120" w:after="240"/>
        <w:ind w:hanging="720" w:start="720" w:end="0"/>
        <w:rPr/>
      </w:pPr>
      <w:r>
        <w:rPr>
          <w:rFonts w:eastAsia="Arial Narrow" w:cs="Arial Narrow" w:ascii="Arial Narrow" w:hAnsi="Arial Narrow"/>
          <w:b/>
          <w:bCs/>
          <w:sz w:val="20"/>
          <w:szCs w:val="20"/>
        </w:rPr>
        <w:t>Performance Obligations.</w:t>
      </w:r>
      <w:r>
        <w:rPr>
          <w:rFonts w:eastAsia="Arial Narrow" w:cs="Arial Narrow" w:ascii="Arial Narrow" w:hAnsi="Arial Narrow"/>
          <w:sz w:val="20"/>
          <w:szCs w:val="20"/>
        </w:rPr>
        <w:t xml:space="preserve">  Seller shall sell and deliver, or cause to be delivered, and Buyer shall purchase and receive, or cause to be received, at the Delivery Point the Contract Quantity, and Buyer shall pay Seller the Contract Price.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rPr>
        <w:t>Liquidated Damages</w:t>
      </w:r>
      <w:r>
        <w:rPr>
          <w:rFonts w:eastAsia="Arial Narrow" w:cs="Arial Narrow" w:ascii="Arial Narrow" w:hAnsi="Arial Narrow"/>
          <w:sz w:val="20"/>
          <w:szCs w:val="20"/>
        </w:rPr>
        <w:t xml:space="preserve">.  Unless excused by Force Majeure, Buyer's failure to perform, or as otherwise provided in the Confirmation, if Seller fails to deliver all or part of the Energy it is required to deliver to Buyer, Seller shall pay Buyer an amount for each unit of Energy in such deficiency equal to the positive difference, if any, obtained by subtracting the Energy Price for such Energy from the Replacement Price.  Unless excused by Force Majeure, the Seller’s failure to perform, or as otherwise provided in the Confirmation, if Buyer fails to receive all or part of the Energy it is required to receive from Seller, Buyer shall pay Seller an amount for each unit of Energy in such deficiency equal to the positive difference, if any, obtained by subtracting the Sales Price from the Energy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The remedy set forth in this Section shall be the sole and exclusive remedy of the aggrieved Party for the failure to schedule or deliver or receive Energy.  </w:t>
      </w:r>
    </w:p>
    <w:p>
      <w:pPr>
        <w:pStyle w:val="Normal"/>
        <w:numPr>
          <w:ilvl w:val="0"/>
          <w:numId w:val="2"/>
        </w:numPr>
        <w:tabs>
          <w:tab w:val="clear" w:pos="720"/>
          <w:tab w:val="left" w:pos="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720" w:start="720" w:end="0"/>
        <w:jc w:val="both"/>
        <w:rPr/>
      </w:pPr>
      <w:r>
        <w:rPr>
          <w:rFonts w:eastAsia="Arial Narrow" w:cs="Arial Narrow" w:ascii="Arial Narrow" w:hAnsi="Arial Narrow"/>
          <w:b/>
          <w:bCs/>
          <w:sz w:val="20"/>
          <w:szCs w:val="20"/>
        </w:rPr>
        <w:t>Force Majeure</w:t>
      </w:r>
      <w:r>
        <w:rPr>
          <w:rFonts w:eastAsia="Arial Narrow" w:cs="Arial Narrow" w:ascii="Arial Narrow" w:hAnsi="Arial Narrow"/>
          <w:sz w:val="20"/>
          <w:szCs w:val="20"/>
        </w:rPr>
        <w:t xml:space="preserve">.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with respect to the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Point(s).  </w:t>
      </w:r>
    </w:p>
    <w:p>
      <w:pPr>
        <w:pStyle w:val="Normal"/>
        <w:numPr>
          <w:ilvl w:val="0"/>
          <w:numId w:val="2"/>
        </w:numPr>
        <w:tabs>
          <w:tab w:val="clear" w:pos="720"/>
          <w:tab w:val="left" w:pos="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720" w:start="720" w:end="0"/>
        <w:jc w:val="both"/>
        <w:rPr/>
      </w:pP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Events of Default and Remedies</w:t>
      </w:r>
      <w:r>
        <w:rPr>
          <w:rFonts w:eastAsia="Arial Narrow" w:cs="Arial Narrow" w:ascii="Arial Narrow" w:hAnsi="Arial Narrow"/>
          <w:sz w:val="20"/>
          <w:szCs w:val="20"/>
        </w:rPr>
        <w:t>.  (a) An event of default ("Event of Default") shall mean with respect to a Party ("Defaulting Party") any of the following:  (i) the failure by the Defaulting Party to make, when due, any payment required under the Agreement if such failure is not remedied within 3 Business Days after written notice of such failure is given to the Defaulting Party, (ii) any written representation</w:t>
      </w:r>
      <w:r>
        <w:rPr>
          <w:rFonts w:eastAsia="Arial Narrow" w:cs="Arial Narrow" w:ascii="Arial Narrow" w:hAnsi="Arial Narrow"/>
        </w:rPr>
        <w:t xml:space="preserve"> </w:t>
      </w:r>
      <w:r>
        <w:rPr>
          <w:rFonts w:eastAsia="Arial Narrow" w:cs="Arial Narrow" w:ascii="Arial Narrow" w:hAnsi="Arial Narrow"/>
          <w:sz w:val="20"/>
          <w:szCs w:val="20"/>
        </w:rPr>
        <w:t>or warranty made by the Defaulting Party shall at any time prove to be false or misleading in any material respect, (iii)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or (iv) the failure of the Defaulting Party or any guarantor of such Defaulting Party to perform any material covenant or material obligation set forth in the Agreement or any applicable guarantee (except to the extent constituting a separate Event of Default, and except for such Party's obligations to deliver or receive the Energy and/or to make available the Capacity, the exclusive remedy for which is provided in the Agreement, so long as timely payment (if expressly required to be made) is made in accordance therewith) and such failure is not remedied within three (3) Business Days after written notice of such failure is given by the other Party.</w:t>
      </w:r>
    </w:p>
    <w:p>
      <w:pPr>
        <w:pStyle w:val="Normal"/>
        <w:numPr>
          <w:ilvl w:val="0"/>
          <w:numId w:val="2"/>
        </w:numPr>
        <w:tabs>
          <w:tab w:val="clear" w:pos="720"/>
          <w:tab w:val="left" w:pos="0" w:leader="none"/>
          <w:tab w:val="left" w:pos="270" w:leader="none"/>
        </w:tabs>
        <w:spacing w:before="120" w:after="0"/>
        <w:ind w:hanging="720" w:start="720" w:end="0"/>
        <w:jc w:val="both"/>
        <w:rPr>
          <w:rFonts w:ascii="Arial Narrow" w:hAnsi="Arial Narrow" w:eastAsia="Arial Narrow" w:cs="Arial Narrow"/>
          <w:sz w:val="20"/>
          <w:szCs w:val="20"/>
        </w:rPr>
      </w:pPr>
      <w:r>
        <w:rPr>
          <w:rFonts w:eastAsia="Arial Narrow" w:cs="Arial Narrow" w:ascii="Arial Narrow" w:hAnsi="Arial Narrow"/>
          <w:sz w:val="20"/>
          <w:szCs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the Confirmation shall be terminated (the Confirmation referred to as the "Terminated Transaction").  If an Early Termination Date has been designated, the non-defaulting Party shall in good faith calculate its Gains, Losses and Costs resulting from the termination of the Terminated Transaction.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the Agreement,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and (iii) "Losses" shall mean, with respect to a Party, an amount equal to the present value of the economic loss, if any, (exclusive of Costs) to it resulting from the termination of its obligations with respect to the Terminated Transaction, determined in a commercially reasonable manner. </w:t>
      </w:r>
    </w:p>
    <w:p>
      <w:pPr>
        <w:pStyle w:val="BodyTextIndent2"/>
        <w:numPr>
          <w:ilvl w:val="0"/>
          <w:numId w:val="2"/>
        </w:numPr>
        <w:tabs>
          <w:tab w:val="left" w:pos="0" w:leader="none"/>
          <w:tab w:val="left" w:pos="180" w:leader="none"/>
          <w:tab w:val="left" w:pos="720" w:leader="none"/>
        </w:tabs>
        <w:ind w:hanging="720" w:start="720" w:end="0"/>
        <w:jc w:val="both"/>
        <w:rPr>
          <w:rFonts w:ascii="Arial Narrow" w:hAnsi="Arial Narrow" w:eastAsia="Arial Narrow" w:cs="Arial Narrow"/>
          <w:sz w:val="20"/>
          <w:szCs w:val="20"/>
        </w:rPr>
      </w:pPr>
      <w:r>
        <w:rPr>
          <w:rFonts w:eastAsia="Arial Narrow" w:cs="Arial Narrow" w:ascii="Arial Narrow" w:hAnsi="Arial Narrow"/>
          <w:sz w:val="20"/>
          <w:szCs w:val="20"/>
        </w:rPr>
        <w:t xml:space="preserve">In the event of an occurrence of an Early Termination Date, if (i) the Defaulting Party would be owed amounts in respect of the obligations relating to such occurrence of an Early Termination Date under the Agreement, or (ii) the non-defaulting Party would be owed amounts in respect of the obligation relating to such occurrence of an Early Termination Date under the Agreement but the non-defaulting Party otherwise owes amounts to the Defaulting Party, the non-defaulting Party shall be entitled, at its option and in its discretion, to set off against such amounts any amounts in the case of (c)(i), payable by the Defaulting Party to the non-defaulting Party under the Agreement or any other agreements, instruments or undertakings between the Defaulting Party and the non-defaulting Party and in the case of (c)(ii), payable by the non-defaulting Party to the Defaulting Party under the Agreement or any other agreements, instruments or undertakings between the Defaulting Party and the non-defaulting Party.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2"/>
        </w:numPr>
        <w:tabs>
          <w:tab w:val="left" w:pos="0" w:leader="none"/>
          <w:tab w:val="left" w:pos="72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360" w:start="360"/>
        <w:jc w:val="both"/>
        <w:rPr/>
      </w:pPr>
      <w:r>
        <w:rPr>
          <w:rFonts w:eastAsia="Arial Narrow" w:cs="Arial Narrow" w:ascii="Arial Narrow" w:hAnsi="Arial Narrow"/>
          <w:b/>
          <w:bCs/>
          <w:sz w:val="20"/>
          <w:szCs w:val="20"/>
        </w:rPr>
        <w:t xml:space="preserve">Billing and Payment Netting.  </w:t>
      </w:r>
      <w:r>
        <w:rPr>
          <w:rFonts w:eastAsia="Arial Narrow" w:cs="Arial Narrow" w:ascii="Arial Narrow" w:hAnsi="Arial Narrow"/>
          <w:sz w:val="20"/>
          <w:szCs w:val="20"/>
        </w:rPr>
        <w:t>(a) By the 10</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day of each month Seller shall provide Buyer a written statement for the preceding month, setting forth the Capacity Charges, Contract Quantity, and all amounts due.  Billing and payment shall be based on scheduled hourly quantities and/or other applicable charges.  Amounts payable shall be paid by wire transfer on or before the 10</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day after the statement was received, or if such day is not a Business Day, the next Business Day. Amounts not paid on or before the due date shall be payable with interest accrued daily at the Interest Rate.  In the event any portion of any bill is the subject of a good faith dispute, only the undisputed amount is required to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2"/>
        </w:numPr>
        <w:tabs>
          <w:tab w:val="clear" w:pos="1080"/>
          <w:tab w:val="left" w:pos="0" w:leader="none"/>
          <w:tab w:val="left" w:pos="180" w:leader="none"/>
          <w:tab w:val="left" w:pos="720" w:leader="none"/>
        </w:tabs>
        <w:spacing w:before="120" w:after="240"/>
        <w:ind w:hanging="360" w:start="360" w:end="0"/>
        <w:rPr>
          <w:rFonts w:ascii="Arial Narrow" w:hAnsi="Arial Narrow" w:eastAsia="Arial Narrow" w:cs="Arial Narrow"/>
          <w:sz w:val="20"/>
          <w:szCs w:val="20"/>
        </w:rPr>
      </w:pPr>
      <w:r>
        <w:rPr>
          <w:rFonts w:eastAsia="Arial Narrow" w:cs="Arial Narrow" w:ascii="Arial Narrow" w:hAnsi="Arial Narrow"/>
          <w:sz w:val="20"/>
          <w:szCs w:val="20"/>
        </w:rPr>
        <w:t>If Buyer and Seller are each required to pay an amount in the same month pursuant to this Agreement,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Transactions and obligations to make payment in connection herewith or under this Agreement or any other agreement between the Parties may be offset against each other, set off or recouped therefrom.</w:t>
      </w:r>
    </w:p>
    <w:p>
      <w:pPr>
        <w:pStyle w:val="Heading2"/>
        <w:numPr>
          <w:ilvl w:val="0"/>
          <w:numId w:val="2"/>
        </w:numPr>
        <w:tabs>
          <w:tab w:val="clear" w:pos="1080"/>
          <w:tab w:val="left" w:pos="0" w:leader="none"/>
          <w:tab w:val="left" w:pos="720" w:leader="none"/>
        </w:tabs>
        <w:spacing w:before="240" w:after="240"/>
        <w:ind w:hanging="360" w:start="360" w:end="0"/>
        <w:rPr/>
      </w:pPr>
      <w:r>
        <w:rPr>
          <w:rFonts w:eastAsia="Arial Narrow" w:cs="Arial Narrow" w:ascii="Arial Narrow" w:hAnsi="Arial Narrow"/>
          <w:b/>
          <w:bCs/>
          <w:sz w:val="20"/>
          <w:szCs w:val="20"/>
        </w:rPr>
        <w:t>Limitation of Liability.</w:t>
      </w:r>
      <w:r>
        <w:rPr>
          <w:rFonts w:eastAsia="Arial Narrow" w:cs="Arial Narrow" w:ascii="Arial Narrow" w:hAnsi="Arial Narrow"/>
          <w:sz w:val="20"/>
          <w:szCs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THIS AGREEMENT,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2"/>
        </w:numPr>
        <w:tabs>
          <w:tab w:val="left" w:pos="0" w:leader="none"/>
          <w:tab w:val="left" w:pos="27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s>
        <w:spacing w:before="120" w:after="0"/>
        <w:ind w:hanging="360" w:start="360"/>
        <w:jc w:val="both"/>
        <w:rPr/>
      </w:pPr>
      <w:r>
        <w:rPr>
          <w:rFonts w:eastAsia="Arial Narrow" w:cs="Arial Narrow" w:ascii="Arial Narrow" w:hAnsi="Arial Narrow"/>
          <w:b/>
          <w:bCs/>
          <w:sz w:val="20"/>
          <w:szCs w:val="20"/>
        </w:rPr>
        <w:t>Taxes</w:t>
      </w:r>
      <w:r>
        <w:rPr>
          <w:rFonts w:eastAsia="Arial Narrow" w:cs="Arial Narrow" w:ascii="Arial Narrow" w:hAnsi="Arial Narrow"/>
          <w:sz w:val="20"/>
          <w:szCs w:val="20"/>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2"/>
        </w:numPr>
        <w:tabs>
          <w:tab w:val="left" w:pos="0" w:leader="none"/>
          <w:tab w:val="left" w:pos="270" w:leader="none"/>
          <w:tab w:val="left" w:pos="450" w:leader="none"/>
          <w:tab w:val="left" w:pos="720" w:leader="none"/>
          <w:tab w:val="left" w:pos="810" w:leader="none"/>
        </w:tabs>
        <w:spacing w:before="120" w:after="0"/>
        <w:ind w:hanging="360" w:start="360"/>
        <w:jc w:val="both"/>
        <w:rPr/>
      </w:pPr>
      <w:r>
        <w:rPr>
          <w:rFonts w:eastAsia="Arial Narrow" w:cs="Arial Narrow" w:ascii="Arial Narrow" w:hAnsi="Arial Narrow"/>
          <w:b/>
          <w:bCs/>
          <w:sz w:val="20"/>
          <w:szCs w:val="20"/>
        </w:rPr>
        <w:t>Miscellaneous</w:t>
      </w:r>
      <w:r>
        <w:rPr>
          <w:rFonts w:eastAsia="Arial Narrow" w:cs="Arial Narrow" w:ascii="Arial Narrow" w:hAnsi="Arial Narrow"/>
          <w:sz w:val="20"/>
          <w:szCs w:val="20"/>
        </w:rPr>
        <w:t xml:space="preserve">.  (a) Each of the Parties represents and warrants that it has all regulatory authorizations necessary for it to legally perform its obligations under this Agreement, the execution, delivery and performance of this Agreement are within its powers, have been duly authorized by all necessary action and do not violate any of the terms and conditions in its governing documents, any contracts to which it is a party or any law or regulation applicable to it, this Agreement constitutes its legally valid and binding obligation enforceable against it in accordance with its terms, subject to any equitable defenses; with respect to this Agreement, it has the ability to make or take delivery of the Energy and has entered into this Agreement with the intention to do so. </w:t>
      </w:r>
    </w:p>
    <w:p>
      <w:pPr>
        <w:pStyle w:val="BodyTextIndent2"/>
        <w:tabs>
          <w:tab w:val="clear" w:pos="720"/>
          <w:tab w:val="left" w:pos="360" w:leader="none"/>
          <w:tab w:val="left" w:pos="540" w:leader="none"/>
          <w:tab w:val="left" w:pos="1080" w:leader="none"/>
        </w:tabs>
        <w:ind w:hanging="360" w:start="360" w:end="0"/>
        <w:jc w:val="both"/>
        <w:rPr>
          <w:rFonts w:ascii="Arial Narrow" w:hAnsi="Arial Narrow" w:eastAsia="Arial Narrow" w:cs="Arial Narrow"/>
          <w:sz w:val="20"/>
          <w:szCs w:val="20"/>
        </w:rPr>
      </w:pPr>
      <w:r>
        <w:rPr>
          <w:rFonts w:eastAsia="Arial Narrow" w:cs="Arial Narrow" w:ascii="Arial Narrow" w:hAnsi="Arial Narrow"/>
          <w:sz w:val="20"/>
          <w:szCs w:val="20"/>
        </w:rPr>
        <w:t>(b)</w:t>
        <w:tab/>
        <w:t>In the event of any inconsistency between the Confirmation (other than this Annex A) and this Annex A, the terms in the Confirmation (other than this Annex A) shall govern.</w:t>
      </w:r>
    </w:p>
    <w:p>
      <w:pPr>
        <w:pStyle w:val="BodyTextIndent2"/>
        <w:tabs>
          <w:tab w:val="clear" w:pos="720"/>
          <w:tab w:val="left" w:pos="360" w:leader="none"/>
          <w:tab w:val="left" w:pos="540" w:leader="none"/>
          <w:tab w:val="left" w:pos="1080" w:leader="none"/>
        </w:tabs>
        <w:ind w:hanging="360" w:start="360" w:end="0"/>
        <w:jc w:val="both"/>
        <w:rPr>
          <w:rFonts w:ascii="Arial Narrow" w:hAnsi="Arial Narrow" w:eastAsia="Arial Narrow" w:cs="Arial Narrow"/>
          <w:sz w:val="20"/>
          <w:szCs w:val="20"/>
        </w:rPr>
      </w:pPr>
      <w:r>
        <w:rPr>
          <w:rFonts w:eastAsia="Arial Narrow" w:cs="Arial Narrow" w:ascii="Arial Narrow" w:hAnsi="Arial Narrow"/>
          <w:sz w:val="20"/>
          <w:szCs w:val="20"/>
        </w:rPr>
        <w:t>(c)</w:t>
        <w:tab/>
        <w:t>The Agreement shall (i) be governed by, interpreted and construed in accordance with the laws of the State of New York (excluding conflict of laws principles); and (ii)  contain the entire agreement between the Parties and supersede all prior oral or written communications or agreements relating to the subject matter.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in whole or in part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 Any assignee described in (ii) and (iii) above shall be deemed creditworthy (making the assigning Party no longer liable) if its long-term, senior unsecured debt not supported by third party credit enhancement has a rating of at least BBB- by S&amp;P or Baa3 by Moody’s.  If the assignee is unrated, it will be deemed creditworthy if its guarantor meets the minimum rating requirements in the preceding sentence, in which case any guaranty given as security under this Agreement shall be release (making the guarantor thereunder no longer liable).  Upon any assignment made in compliance with these provisions, the assignment shall inure to and be binding upon the successors and assigns of the assigning Party.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All notices in connection with this Agreement (other than notices pursuant to the Confirmation which may be by telephone or other oral means)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Annex A or as may be subsequently designated by effective notice.  If either Party fails to pay any amounts when due, the aggrieved Party shall have the right to (i) suspend performance under the Confirmation upon notice of election of this remedy to the nonpaying Party, until such amounts plus interest at the Interest Rate have been paid (but in no event for longer than five (5) Business Days following delivery of such notice relating to any continuing nonpayment under this Agreement and/or (ii) exercise any remedy available under this Agreement to enforce payment of such amount plus interest at the Interest Rate.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BodyTextIndent2"/>
        <w:tabs>
          <w:tab w:val="clear" w:pos="720"/>
          <w:tab w:val="left" w:pos="270" w:leader="none"/>
          <w:tab w:val="left" w:pos="360" w:leader="none"/>
          <w:tab w:val="left" w:pos="540" w:leader="none"/>
          <w:tab w:val="left" w:pos="1080" w:leader="none"/>
        </w:tabs>
        <w:ind w:hanging="360" w:start="360" w:end="0"/>
        <w:jc w:val="both"/>
        <w:rPr/>
      </w:pPr>
      <w:r>
        <w:rPr>
          <w:rFonts w:eastAsia="Arial Narrow" w:cs="Arial Narrow" w:ascii="Arial Narrow" w:hAnsi="Arial Narrow"/>
          <w:sz w:val="20"/>
          <w:szCs w:val="20"/>
        </w:rPr>
        <w:t>(d)</w:t>
        <w:tab/>
        <w:t xml:space="preserve"> </w:t>
      </w:r>
      <w:r>
        <w:rPr>
          <w:rFonts w:eastAsia="Arial Narrow" w:cs="Arial Narrow" w:ascii="Arial Narrow" w:hAnsi="Arial Narrow"/>
          <w:b/>
          <w:bCs/>
          <w:sz w:val="20"/>
          <w:szCs w:val="20"/>
        </w:rPr>
        <w:t>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Agreement and/or the FAA or AAA.  The arbitration shall be conducted in New York, New York and such arbitration and any related award shall be confidential.</w:t>
      </w:r>
    </w:p>
    <w:p>
      <w:pPr>
        <w:pStyle w:val="BodyTextIndent2"/>
        <w:tabs>
          <w:tab w:val="clear" w:pos="720"/>
          <w:tab w:val="left" w:pos="360" w:leader="none"/>
          <w:tab w:val="left" w:pos="540" w:leader="none"/>
          <w:tab w:val="left" w:pos="1080" w:leader="none"/>
        </w:tabs>
        <w:ind w:hanging="360" w:start="360" w:end="0"/>
        <w:jc w:val="both"/>
        <w:rPr>
          <w:rFonts w:ascii="Arial Narrow" w:hAnsi="Arial Narrow" w:eastAsia="Arial Narrow" w:cs="Arial Narrow"/>
          <w:sz w:val="20"/>
          <w:szCs w:val="20"/>
        </w:rPr>
      </w:pPr>
      <w:r>
        <w:rPr>
          <w:rFonts w:eastAsia="Arial Narrow" w:cs="Arial Narrow" w:ascii="Arial Narrow" w:hAnsi="Arial Narrow"/>
          <w:sz w:val="20"/>
          <w:szCs w:val="20"/>
        </w:rPr>
        <w:t>(e)</w:t>
        <w:tab/>
        <w:t>Unless otherwise expressly stated, all references to time shall be deemed to be referring to EPT.</w:t>
      </w:r>
    </w:p>
    <w:p>
      <w:pPr>
        <w:pStyle w:val="Normal"/>
        <w:tabs>
          <w:tab w:val="clear" w:pos="720"/>
          <w:tab w:val="left" w:pos="270" w:leader="none"/>
          <w:tab w:val="left" w:pos="810" w:leader="none"/>
          <w:tab w:val="left" w:pos="1080" w:leader="none"/>
          <w:tab w:val="left" w:pos="1170" w:leader="none"/>
        </w:tabs>
        <w:spacing w:before="120" w:after="0"/>
        <w:jc w:val="both"/>
        <w:rPr/>
      </w:pPr>
      <w:r>
        <w:rPr>
          <w:rFonts w:eastAsia="Arial Narrow" w:cs="Arial Narrow" w:ascii="Arial Narrow" w:hAnsi="Arial Narrow"/>
          <w:b/>
          <w:bCs/>
          <w:sz w:val="20"/>
          <w:szCs w:val="20"/>
        </w:rPr>
        <w:t>10.</w:t>
        <w:tab/>
        <w:t>Definitions</w:t>
      </w:r>
      <w:r>
        <w:rPr>
          <w:rFonts w:eastAsia="Arial Narrow" w:cs="Arial Narrow" w:ascii="Arial Narrow" w:hAnsi="Arial Narrow"/>
          <w:sz w:val="20"/>
          <w:szCs w:val="20"/>
        </w:rPr>
        <w:t>.  The following definitions and any terms defined internally in this Agreement shall apply to this Agreement and all notices and communications made pursuant to this Agreement.</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Affiliate</w:t>
      </w:r>
      <w:r>
        <w:rPr>
          <w:rFonts w:eastAsia="Arial Narrow" w:cs="Arial Narrow" w:ascii="Arial Narrow" w:hAnsi="Arial Narrow"/>
          <w:sz w:val="20"/>
          <w:szCs w:val="20"/>
        </w:rPr>
        <w:t>" means, with respect to any entity, any other entity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Business Day</w:t>
      </w:r>
      <w:r>
        <w:rPr>
          <w:rFonts w:eastAsia="Arial Narrow" w:cs="Arial Narrow" w:ascii="Arial Narrow" w:hAnsi="Arial Narrow"/>
          <w:sz w:val="20"/>
          <w:szCs w:val="20"/>
        </w:rPr>
        <w:t>" means any day, Monday through Friday, excluding NERC recognized holidays; and a Business Day shall open at 8:00 a.m. and close at 5:00 p.m. local time for each Party's principal place of business.</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Capacity</w:t>
      </w:r>
      <w:r>
        <w:rPr>
          <w:rFonts w:eastAsia="Arial Narrow" w:cs="Arial Narrow" w:ascii="Arial Narrow" w:hAnsi="Arial Narrow"/>
          <w:sz w:val="20"/>
          <w:szCs w:val="20"/>
        </w:rPr>
        <w:t>" is the right to receive Energy at the Delivery Point(s) specified in the Confirmation.</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Capacity Charge</w:t>
      </w:r>
      <w:r>
        <w:rPr>
          <w:rFonts w:eastAsia="Arial Narrow" w:cs="Arial Narrow" w:ascii="Arial Narrow" w:hAnsi="Arial Narrow"/>
          <w:sz w:val="20"/>
          <w:szCs w:val="20"/>
        </w:rPr>
        <w:t>" means the price for Capacity as set forth in the Confirmation.</w:t>
      </w:r>
    </w:p>
    <w:p>
      <w:pPr>
        <w:pStyle w:val="Justified"/>
        <w:tabs>
          <w:tab w:val="clear" w:pos="720"/>
          <w:tab w:val="left" w:pos="270" w:leader="none"/>
        </w:tabs>
        <w:spacing w:before="120" w:after="0"/>
        <w:ind w:start="270" w:end="0"/>
        <w:jc w:val="both"/>
        <w:rPr/>
      </w:pPr>
      <w:r>
        <w:rPr>
          <w:rFonts w:eastAsia="Arial Narrow" w:cs="Arial Narrow" w:ascii="Arial Narrow" w:hAnsi="Arial Narrow"/>
          <w:i/>
          <w:iCs/>
          <w:sz w:val="20"/>
          <w:szCs w:val="20"/>
        </w:rPr>
        <w:t>"Claims"</w:t>
      </w:r>
      <w:r>
        <w:rPr>
          <w:rFonts w:eastAsia="Arial Narrow" w:cs="Arial Narrow" w:ascii="Arial Narrow" w:hAnsi="Arial Narrow"/>
          <w:sz w:val="20"/>
          <w:szCs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Contract Price</w:t>
      </w:r>
      <w:r>
        <w:rPr>
          <w:rFonts w:eastAsia="Arial Narrow" w:cs="Arial Narrow" w:ascii="Arial Narrow" w:hAnsi="Arial Narrow"/>
          <w:sz w:val="20"/>
          <w:szCs w:val="20"/>
        </w:rPr>
        <w:t>" means the Capacity Charge and the Energy Price.</w:t>
      </w:r>
    </w:p>
    <w:p>
      <w:pPr>
        <w:pStyle w:val="Heading2"/>
        <w:spacing w:before="120" w:after="240"/>
        <w:ind w:hanging="0" w:start="270" w:end="0"/>
        <w:rPr/>
      </w:pPr>
      <w:r>
        <w:rPr>
          <w:rFonts w:eastAsia="Arial Narrow" w:cs="Arial Narrow" w:ascii="Arial Narrow" w:hAnsi="Arial Narrow"/>
          <w:i/>
          <w:iCs/>
          <w:sz w:val="20"/>
          <w:szCs w:val="20"/>
        </w:rPr>
        <w:t xml:space="preserve">"Contract Quantity" </w:t>
      </w:r>
      <w:r>
        <w:rPr>
          <w:rFonts w:eastAsia="Arial Narrow" w:cs="Arial Narrow" w:ascii="Arial Narrow" w:hAnsi="Arial Narrow"/>
          <w:sz w:val="20"/>
          <w:szCs w:val="20"/>
        </w:rPr>
        <w:t>means the quantity of Energy that Seller agrees to sell and deliver, or cause to be delivered, to Buyer and that Buyer agrees to purchase and receive, or cause to be received, from Seller, pursuant to the terms of the Confirmation.</w:t>
      </w:r>
    </w:p>
    <w:p>
      <w:pPr>
        <w:pStyle w:val="Justified"/>
        <w:tabs>
          <w:tab w:val="clear" w:pos="720"/>
          <w:tab w:val="left" w:pos="270" w:leader="none"/>
        </w:tabs>
        <w:spacing w:before="120" w:after="0"/>
        <w:ind w:start="270" w:end="0"/>
        <w:jc w:val="both"/>
        <w:rPr/>
      </w:pPr>
      <w:r>
        <w:rPr>
          <w:rFonts w:eastAsia="Arial Narrow" w:cs="Arial Narrow" w:ascii="Arial Narrow" w:hAnsi="Arial Narrow"/>
          <w:i/>
          <w:iCs/>
          <w:sz w:val="20"/>
          <w:szCs w:val="20"/>
        </w:rPr>
        <w:t xml:space="preserve">"Delivery Point" </w:t>
      </w:r>
      <w:r>
        <w:rPr>
          <w:rFonts w:eastAsia="Arial Narrow" w:cs="Arial Narrow" w:ascii="Arial Narrow" w:hAnsi="Arial Narrow"/>
          <w:sz w:val="20"/>
          <w:szCs w:val="20"/>
        </w:rPr>
        <w:t>means the point of delivery and receipt of Energy pursuant to the Confirmation.</w:t>
      </w:r>
    </w:p>
    <w:p>
      <w:pPr>
        <w:pStyle w:val="Heading2"/>
        <w:spacing w:before="120" w:after="240"/>
        <w:ind w:hanging="0" w:start="270" w:end="0"/>
        <w:rPr/>
      </w:pPr>
      <w:r>
        <w:rPr>
          <w:rFonts w:eastAsia="Arial Narrow" w:cs="Arial Narrow" w:ascii="Arial Narrow" w:hAnsi="Arial Narrow"/>
          <w:sz w:val="20"/>
          <w:szCs w:val="20"/>
        </w:rPr>
        <w:t>"</w:t>
      </w:r>
      <w:r>
        <w:rPr>
          <w:rFonts w:eastAsia="Arial Narrow" w:cs="Arial Narrow" w:ascii="Arial Narrow" w:hAnsi="Arial Narrow"/>
          <w:i/>
          <w:iCs/>
          <w:sz w:val="20"/>
          <w:szCs w:val="20"/>
        </w:rPr>
        <w:t xml:space="preserve">Delivery Term" </w:t>
      </w:r>
      <w:r>
        <w:rPr>
          <w:rFonts w:eastAsia="Arial Narrow" w:cs="Arial Narrow" w:ascii="Arial Narrow" w:hAnsi="Arial Narrow"/>
          <w:sz w:val="20"/>
          <w:szCs w:val="20"/>
        </w:rPr>
        <w:t>means the period of time from the date physical delivery of the Energy is to commence to the date physical delivery is to terminate pursuant to the terms of the Confirmation.</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sz w:val="20"/>
          <w:szCs w:val="20"/>
        </w:rPr>
        <w:t>E</w:t>
      </w:r>
      <w:r>
        <w:rPr>
          <w:rFonts w:eastAsia="Arial Narrow" w:cs="Arial Narrow" w:ascii="Arial Narrow" w:hAnsi="Arial Narrow"/>
          <w:i/>
          <w:iCs/>
          <w:sz w:val="20"/>
          <w:szCs w:val="20"/>
        </w:rPr>
        <w:t>PT</w:t>
      </w:r>
      <w:r>
        <w:rPr>
          <w:rFonts w:eastAsia="Arial Narrow" w:cs="Arial Narrow" w:ascii="Arial Narrow" w:hAnsi="Arial Narrow"/>
          <w:sz w:val="20"/>
          <w:szCs w:val="20"/>
        </w:rPr>
        <w:t>" means Eastern Prevailing Time.</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Energy</w:t>
      </w:r>
      <w:r>
        <w:rPr>
          <w:rFonts w:eastAsia="Arial Narrow" w:cs="Arial Narrow" w:ascii="Arial Narrow" w:hAnsi="Arial Narrow"/>
          <w:sz w:val="20"/>
          <w:szCs w:val="20"/>
        </w:rPr>
        <w:t>" has the meaning set forth in the Confirmation.</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Energy Price</w:t>
      </w:r>
      <w:r>
        <w:rPr>
          <w:rFonts w:eastAsia="Arial Narrow" w:cs="Arial Narrow" w:ascii="Arial Narrow" w:hAnsi="Arial Narrow"/>
          <w:sz w:val="20"/>
          <w:szCs w:val="20"/>
        </w:rPr>
        <w:t>" means the price per MWh for Energy as provided in the Confirmation.</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Force Majeure</w:t>
      </w:r>
      <w:r>
        <w:rPr>
          <w:rFonts w:eastAsia="Arial Narrow" w:cs="Arial Narrow" w:ascii="Arial Narrow" w:hAnsi="Arial Narrow"/>
          <w:sz w:val="20"/>
          <w:szCs w:val="20"/>
        </w:rPr>
        <w:t>" means an event not anticipated as of the date of the Confirmation,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failure to obtain and/or pay for fuel supplies necessary to run the Units shall constitute an event of Force Majeure.  It is expressly agreed that an interruption in Seller’s supply of fuel, other than an interruption due to Seller’s failure to pay its supplier, qualifies as Force Majeure.</w:t>
      </w:r>
    </w:p>
    <w:p>
      <w:pPr>
        <w:pStyle w:val="Heading2"/>
        <w:rPr>
          <w:rFonts w:ascii="Arial Narrow" w:hAnsi="Arial Narrow" w:eastAsia="Arial Narrow" w:cs="Arial Narrow"/>
          <w:sz w:val="20"/>
          <w:szCs w:val="20"/>
        </w:rPr>
      </w:pPr>
      <w:r>
        <w:rPr>
          <w:rFonts w:eastAsia="Arial Narrow" w:cs="Arial Narrow" w:ascii="Arial Narrow" w:hAnsi="Arial Narrow"/>
          <w:sz w:val="20"/>
          <w:szCs w:val="20"/>
        </w:rPr>
      </w:r>
    </w:p>
    <w:p>
      <w:pPr>
        <w:pStyle w:val="Heading2"/>
        <w:ind w:firstLine="270" w:end="0"/>
        <w:rPr/>
      </w:pPr>
      <w:r>
        <w:rPr>
          <w:rFonts w:eastAsia="Arial Narrow" w:cs="Arial Narrow" w:ascii="Arial Narrow" w:hAnsi="Arial Narrow"/>
          <w:i/>
          <w:iCs/>
          <w:sz w:val="20"/>
          <w:szCs w:val="20"/>
        </w:rPr>
        <w:t>“</w:t>
      </w:r>
      <w:r>
        <w:rPr>
          <w:rFonts w:eastAsia="Arial Narrow" w:cs="Arial Narrow" w:ascii="Arial Narrow" w:hAnsi="Arial Narrow"/>
          <w:i/>
          <w:iCs/>
          <w:sz w:val="20"/>
          <w:szCs w:val="20"/>
        </w:rPr>
        <w:t>Guarantor”</w:t>
      </w:r>
      <w:r>
        <w:rPr>
          <w:rFonts w:eastAsia="Arial Narrow" w:cs="Arial Narrow" w:ascii="Arial Narrow" w:hAnsi="Arial Narrow"/>
          <w:sz w:val="20"/>
          <w:szCs w:val="20"/>
        </w:rPr>
        <w:t>, with respect to NCPH, means Enron Corp.</w:t>
      </w:r>
    </w:p>
    <w:p>
      <w:pPr>
        <w:pStyle w:val="Justified"/>
        <w:tabs>
          <w:tab w:val="clear" w:pos="720"/>
          <w:tab w:val="left" w:pos="270" w:leader="none"/>
        </w:tabs>
        <w:spacing w:before="120" w:after="0"/>
        <w:ind w:start="270" w:end="0"/>
        <w:jc w:val="both"/>
        <w:rPr/>
      </w:pPr>
      <w:r>
        <w:rPr>
          <w:rFonts w:eastAsia="Arial Narrow" w:cs="Arial Narrow" w:ascii="Arial Narrow" w:hAnsi="Arial Narrow"/>
          <w:sz w:val="20"/>
          <w:szCs w:val="20"/>
        </w:rPr>
        <w:t>"</w:t>
      </w:r>
      <w:r>
        <w:rPr>
          <w:rFonts w:eastAsia="Arial Narrow" w:cs="Arial Narrow" w:ascii="Arial Narrow" w:hAnsi="Arial Narrow"/>
          <w:i/>
          <w:iCs/>
          <w:sz w:val="20"/>
          <w:szCs w:val="20"/>
        </w:rPr>
        <w:t>Interest Rate</w:t>
      </w:r>
      <w:r>
        <w:rPr>
          <w:rFonts w:eastAsia="Arial Narrow" w:cs="Arial Narrow" w:ascii="Arial Narrow" w:hAnsi="Arial Narrow"/>
          <w:sz w:val="20"/>
          <w:szCs w:val="20"/>
        </w:rPr>
        <w:t>"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Heading2"/>
        <w:ind w:hanging="0" w:start="270" w:end="0"/>
        <w:rPr/>
      </w:pPr>
      <w:r>
        <w:rPr>
          <w:rFonts w:eastAsia="Arial Narrow" w:cs="Arial Narrow" w:ascii="Arial Narrow" w:hAnsi="Arial Narrow"/>
          <w:i/>
          <w:iCs/>
          <w:sz w:val="20"/>
          <w:szCs w:val="20"/>
        </w:rPr>
        <w:t>“</w:t>
      </w:r>
      <w:r>
        <w:rPr>
          <w:rFonts w:eastAsia="Arial Narrow" w:cs="Arial Narrow" w:ascii="Arial Narrow" w:hAnsi="Arial Narrow"/>
          <w:i/>
          <w:iCs/>
          <w:sz w:val="20"/>
          <w:szCs w:val="20"/>
        </w:rPr>
        <w:t>Moody’s”</w:t>
      </w:r>
      <w:r>
        <w:rPr>
          <w:rFonts w:eastAsia="Arial Narrow" w:cs="Arial Narrow" w:ascii="Arial Narrow" w:hAnsi="Arial Narrow"/>
          <w:sz w:val="20"/>
          <w:szCs w:val="20"/>
        </w:rPr>
        <w:t xml:space="preserve"> means Moody’s Investor Services, Inc. or its successor. </w:t>
      </w:r>
    </w:p>
    <w:p>
      <w:pPr>
        <w:pStyle w:val="Heading2"/>
        <w:tabs>
          <w:tab w:val="left" w:pos="270" w:leader="none"/>
          <w:tab w:val="left" w:pos="1080" w:leader="none"/>
        </w:tabs>
        <w:spacing w:before="120" w:after="240"/>
        <w:ind w:firstLine="270" w:end="0"/>
        <w:rPr/>
      </w:pPr>
      <w:r>
        <w:rPr>
          <w:rFonts w:eastAsia="Arial Narrow" w:cs="Arial Narrow" w:ascii="Arial Narrow" w:hAnsi="Arial Narrow"/>
          <w:sz w:val="20"/>
          <w:szCs w:val="20"/>
        </w:rPr>
        <w:t>"</w:t>
      </w:r>
      <w:r>
        <w:rPr>
          <w:rFonts w:eastAsia="Arial Narrow" w:cs="Arial Narrow" w:ascii="Arial Narrow" w:hAnsi="Arial Narrow"/>
          <w:i/>
          <w:iCs/>
          <w:sz w:val="20"/>
          <w:szCs w:val="20"/>
        </w:rPr>
        <w:t>MW</w:t>
      </w:r>
      <w:r>
        <w:rPr>
          <w:rFonts w:eastAsia="Arial Narrow" w:cs="Arial Narrow" w:ascii="Arial Narrow" w:hAnsi="Arial Narrow"/>
          <w:sz w:val="20"/>
          <w:szCs w:val="20"/>
        </w:rPr>
        <w:t>" means one megawatt.</w:t>
      </w:r>
    </w:p>
    <w:p>
      <w:pPr>
        <w:pStyle w:val="Heading2"/>
        <w:tabs>
          <w:tab w:val="left" w:pos="270" w:leader="none"/>
          <w:tab w:val="left" w:pos="1080" w:leader="none"/>
        </w:tabs>
        <w:spacing w:before="120" w:after="240"/>
        <w:ind w:hanging="0" w:start="270" w:end="0"/>
        <w:rPr/>
      </w:pPr>
      <w:r>
        <w:rPr>
          <w:rFonts w:eastAsia="Arial Narrow" w:cs="Arial Narrow" w:ascii="Arial Narrow" w:hAnsi="Arial Narrow"/>
          <w:sz w:val="20"/>
          <w:szCs w:val="20"/>
        </w:rPr>
        <w:t>"</w:t>
      </w:r>
      <w:r>
        <w:rPr>
          <w:rFonts w:eastAsia="Arial Narrow" w:cs="Arial Narrow" w:ascii="Arial Narrow" w:hAnsi="Arial Narrow"/>
          <w:i/>
          <w:iCs/>
          <w:sz w:val="20"/>
          <w:szCs w:val="20"/>
        </w:rPr>
        <w:t>MWh</w:t>
      </w:r>
      <w:r>
        <w:rPr>
          <w:rFonts w:eastAsia="Arial Narrow" w:cs="Arial Narrow" w:ascii="Arial Narrow" w:hAnsi="Arial Narrow"/>
          <w:sz w:val="20"/>
          <w:szCs w:val="20"/>
        </w:rPr>
        <w:t>" means one megawatt hour.</w:t>
      </w:r>
    </w:p>
    <w:p>
      <w:pPr>
        <w:pStyle w:val="Heading2"/>
        <w:tabs>
          <w:tab w:val="left" w:pos="270" w:leader="none"/>
          <w:tab w:val="left" w:pos="1080" w:leader="none"/>
        </w:tabs>
        <w:spacing w:before="120" w:after="240"/>
        <w:ind w:hanging="0" w:start="270" w:end="0"/>
        <w:rPr/>
      </w:pPr>
      <w:r>
        <w:rPr>
          <w:rFonts w:eastAsia="Arial Narrow" w:cs="Arial Narrow" w:ascii="Arial Narrow" w:hAnsi="Arial Narrow"/>
          <w:sz w:val="20"/>
          <w:szCs w:val="20"/>
        </w:rPr>
        <w:t>"</w:t>
      </w:r>
      <w:r>
        <w:rPr>
          <w:rFonts w:eastAsia="Arial Narrow" w:cs="Arial Narrow" w:ascii="Arial Narrow" w:hAnsi="Arial Narrow"/>
          <w:i/>
          <w:iCs/>
          <w:sz w:val="20"/>
          <w:szCs w:val="20"/>
        </w:rPr>
        <w:t>Replacement Price</w:t>
      </w:r>
      <w:r>
        <w:rPr>
          <w:rFonts w:eastAsia="Arial Narrow" w:cs="Arial Narrow" w:ascii="Arial Narrow" w:hAnsi="Arial Narrow"/>
          <w:sz w:val="20"/>
          <w:szCs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left" w:pos="270" w:leader="none"/>
          <w:tab w:val="left" w:pos="1080" w:leader="none"/>
        </w:tabs>
        <w:spacing w:before="120" w:after="240"/>
        <w:ind w:hanging="0" w:start="270" w:end="0"/>
        <w:rPr/>
      </w:pPr>
      <w:r>
        <w:rPr>
          <w:rFonts w:eastAsia="Arial Narrow" w:cs="Arial Narrow" w:ascii="Arial Narrow" w:hAnsi="Arial Narrow"/>
          <w:i/>
          <w:iCs/>
          <w:sz w:val="20"/>
          <w:szCs w:val="20"/>
        </w:rPr>
        <w:t>“</w:t>
      </w:r>
      <w:r>
        <w:rPr>
          <w:rFonts w:eastAsia="Arial Narrow" w:cs="Arial Narrow" w:ascii="Arial Narrow" w:hAnsi="Arial Narrow"/>
          <w:i/>
          <w:iCs/>
          <w:sz w:val="20"/>
          <w:szCs w:val="20"/>
        </w:rPr>
        <w:t>S&amp;P”</w:t>
      </w:r>
      <w:r>
        <w:rPr>
          <w:rFonts w:eastAsia="Arial Narrow" w:cs="Arial Narrow" w:ascii="Arial Narrow" w:hAnsi="Arial Narrow"/>
          <w:sz w:val="20"/>
          <w:szCs w:val="20"/>
        </w:rPr>
        <w:t xml:space="preserve"> means the Standard &amp; Poor’s Rating Group (a division of McGraw-Hill, Inc.) or its successor.  </w:t>
      </w:r>
    </w:p>
    <w:p>
      <w:pPr>
        <w:pStyle w:val="Justified"/>
        <w:spacing w:before="120" w:after="120"/>
        <w:ind w:start="270" w:end="0"/>
        <w:jc w:val="both"/>
        <w:rPr/>
      </w:pPr>
      <w:r>
        <w:rPr>
          <w:rFonts w:eastAsia="Arial Narrow" w:cs="Arial Narrow" w:ascii="Arial Narrow" w:hAnsi="Arial Narrow"/>
          <w:i/>
          <w:iCs/>
          <w:sz w:val="20"/>
          <w:szCs w:val="20"/>
        </w:rPr>
        <w:t>"Taxes"</w:t>
      </w:r>
      <w:r>
        <w:rPr>
          <w:rFonts w:eastAsia="Arial Narrow" w:cs="Arial Narrow" w:ascii="Arial Narrow" w:hAnsi="Arial Narrow"/>
          <w:sz w:val="20"/>
          <w:szCs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sectPr>
          <w:type w:val="continuous"/>
          <w:pgSz w:w="12240" w:h="15840"/>
          <w:pgMar w:left="1440" w:right="1440" w:gutter="0" w:header="720" w:top="776" w:footer="720" w:bottom="776"/>
          <w:cols w:num="2" w:space="708" w:equalWidth="true" w:sep="false"/>
          <w:formProt w:val="false"/>
          <w:textDirection w:val="lrTb"/>
        </w:sectPr>
      </w:pPr>
    </w:p>
    <w:p>
      <w:pPr>
        <w:pStyle w:val="Heading2"/>
        <w:tabs>
          <w:tab w:val="left" w:pos="270" w:leader="none"/>
          <w:tab w:val="left" w:pos="1080" w:leader="none"/>
        </w:tabs>
        <w:spacing w:before="120" w:after="240"/>
        <w:rPr>
          <w:rFonts w:ascii="Arial Narrow" w:hAnsi="Arial Narrow" w:eastAsia="Arial Narrow" w:cs="Arial Narrow"/>
          <w:sz w:val="20"/>
          <w:szCs w:val="20"/>
        </w:rPr>
      </w:pPr>
      <w:r>
        <w:rPr>
          <w:rFonts w:eastAsia="Arial Narrow" w:cs="Arial Narrow" w:ascii="Arial Narrow" w:hAnsi="Arial Narrow"/>
          <w:sz w:val="20"/>
          <w:szCs w:val="20"/>
        </w:rPr>
      </w:r>
    </w:p>
    <w:p>
      <w:pPr>
        <w:pStyle w:val="WW-BodyText2"/>
        <w:rPr>
          <w:rFonts w:ascii="Arial" w:hAnsi="Arial" w:eastAsia="Arial" w:cs="Arial"/>
          <w:sz w:val="18"/>
          <w:szCs w:val="18"/>
        </w:rPr>
      </w:pPr>
      <w:r>
        <w:rPr>
          <w:rFonts w:eastAsia="Arial" w:cs="Arial" w:ascii="Arial" w:hAnsi="Arial"/>
          <w:sz w:val="18"/>
          <w:szCs w:val="18"/>
        </w:rPr>
      </w:r>
      <w:r>
        <w:br w:type="page"/>
      </w:r>
    </w:p>
    <w:p>
      <w:pPr>
        <w:pStyle w:val="WW-BodyText2"/>
        <w:rPr>
          <w:rFonts w:ascii="Arial" w:hAnsi="Arial" w:eastAsia="Arial" w:cs="Arial"/>
          <w:sz w:val="18"/>
          <w:szCs w:val="18"/>
        </w:rPr>
      </w:pPr>
      <w:r>
        <w:rPr>
          <w:rFonts w:eastAsia="Arial" w:cs="Arial" w:ascii="Arial" w:hAnsi="Arial"/>
          <w:sz w:val="18"/>
          <w:szCs w:val="18"/>
        </w:rPr>
      </w:r>
    </w:p>
    <w:p>
      <w:pPr>
        <w:pStyle w:val="BodyTextFirstIndent"/>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b/>
          <w:bCs/>
          <w:sz w:val="18"/>
          <w:szCs w:val="18"/>
        </w:rPr>
      </w:pPr>
      <w:r>
        <w:rPr>
          <w:rFonts w:eastAsia="Arial" w:cs="Arial" w:ascii="Arial" w:hAnsi="Arial"/>
          <w:b/>
          <w:bCs/>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b/>
          <w:bCs/>
          <w:sz w:val="18"/>
          <w:szCs w:val="18"/>
        </w:rPr>
      </w:pPr>
      <w:r>
        <w:rPr>
          <w:rFonts w:eastAsia="Arial" w:cs="Arial" w:ascii="Arial" w:hAnsi="Arial"/>
          <w:b/>
          <w:bCs/>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b/>
          <w:bCs/>
          <w:sz w:val="18"/>
          <w:szCs w:val="18"/>
        </w:rPr>
      </w:pPr>
      <w:r>
        <w:rPr>
          <w:rFonts w:eastAsia="Arial" w:cs="Arial" w:ascii="Arial" w:hAnsi="Arial"/>
          <w:b/>
          <w:bCs/>
          <w:sz w:val="18"/>
          <w:szCs w:val="18"/>
        </w:rPr>
      </w:r>
    </w:p>
    <w:sectPr>
      <w:type w:val="continuous"/>
      <w:pgSz w:w="12240" w:h="15840"/>
      <w:pgMar w:left="1440" w:right="1440" w:gutter="0" w:header="720" w:top="776" w:footer="720" w:bottom="776"/>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imes">
    <w:altName w:val="Times New Roman"/>
    <w:charset w:val="01"/>
    <w:family w:val="roman"/>
    <w:pitch w:val="variable"/>
  </w:font>
  <w:font w:name="CG Times (WN)">
    <w:charset w:val="01"/>
    <w:family w:val="roman"/>
    <w:pitch w:val="variable"/>
  </w:font>
  <w:font w:name="Arial">
    <w:charset w:val="01"/>
    <w:family w:val="swiss"/>
    <w:pitch w:val="variable"/>
  </w:font>
  <w:font w:name="Courier">
    <w:altName w:val="Courier New"/>
    <w:charset w:val="01"/>
    <w:family w:val="modern"/>
    <w:pitch w:val="default"/>
  </w:font>
  <w:font w:name="Symbol">
    <w:charset w:val="02"/>
    <w:family w:val="roman"/>
    <w:pitch w:val="default"/>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szCs w:val="26"/>
      </w:rPr>
      <w:fldChar w:fldCharType="begin"/>
    </w:r>
    <w:r>
      <w:rPr>
        <w:sz w:val="26"/>
        <w:szCs w:val="26"/>
      </w:rPr>
      <w:instrText xml:space="preserve"> SUBJECT </w:instrText>
    </w:r>
    <w:r>
      <w:rPr>
        <w:sz w:val="26"/>
        <w:szCs w:val="26"/>
      </w:rPr>
      <w:fldChar w:fldCharType="separate"/>
    </w:r>
    <w:r>
      <w:rPr>
        <w:sz w:val="26"/>
        <w:szCs w:val="26"/>
      </w:rPr>
    </w:r>
    <w:r>
      <w:rPr>
        <w:sz w:val="26"/>
        <w:szCs w:val="26"/>
      </w:rPr>
      <w:fldChar w:fldCharType="end"/>
    </w:r>
    <w:r>
      <w:rPr>
        <w:sz w:val="26"/>
        <w:szCs w:val="26"/>
      </w:rPr>
      <w:tab/>
    </w:r>
    <w:r>
      <w:rPr>
        <w:rFonts w:eastAsia="Arial" w:cs="Arial" w:ascii="Arial" w:hAnsi="Arial"/>
      </w:rPr>
      <w:t xml:space="preserve">                                                                                          </w:t>
    </w:r>
  </w:p>
  <w:p>
    <w:pPr>
      <w:pStyle w:val="Header"/>
      <w:tabs>
        <w:tab w:val="center" w:pos="4320" w:leader="none"/>
        <w:tab w:val="left" w:pos="7380" w:leader="none"/>
        <w:tab w:val="right" w:pos="8640" w:leader="none"/>
      </w:tabs>
      <w:ind w:start="6840" w:end="0"/>
      <w:rPr>
        <w:rFonts w:ascii="Arial" w:hAnsi="Arial" w:eastAsia="Arial" w:cs="Arial"/>
      </w:rPr>
    </w:pPr>
    <w:r>
      <w:rPr>
        <w:rFonts w:eastAsia="Arial" w:cs="Arial" w:ascii="Arial" w:hAnsi="Arial"/>
      </w:rPr>
    </w:r>
  </w:p>
  <w:p>
    <w:pPr>
      <w:pStyle w:val="Header"/>
      <w:tabs>
        <w:tab w:val="center" w:pos="4320" w:leader="none"/>
        <w:tab w:val="left" w:pos="7380" w:leader="none"/>
        <w:tab w:val="right" w:pos="8640" w:leader="none"/>
      </w:tabs>
      <w:rPr>
        <w:rFonts w:ascii="Arial" w:hAnsi="Arial" w:eastAsia="Arial" w:cs="Arial"/>
      </w:rPr>
    </w:pPr>
    <w:r>
      <w:rPr>
        <w:rFonts w:eastAsia="Arial" w:cs="Arial" w:ascii="Arial" w:hAnsi="Arial"/>
      </w:rPr>
      <w:tab/>
      <w:t xml:space="preserve">                                                                                                        Deal No. 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tabs>
        <w:tab w:val="left" w:pos="720" w:leader="none"/>
        <w:tab w:val="left" w:pos="1440" w:leader="none"/>
        <w:tab w:val="left" w:pos="2160" w:leader="none"/>
        <w:tab w:val="left" w:pos="5040" w:leader="none"/>
        <w:tab w:val="left" w:pos="5760" w:leader="none"/>
        <w:tab w:val="left" w:pos="6480" w:leader="none"/>
      </w:tabs>
      <w:jc w:val="center"/>
      <w:outlineLvl w:val="0"/>
    </w:pPr>
    <w:rPr>
      <w:rFonts w:ascii="Courier New" w:hAnsi="Courier New" w:eastAsia="Courier New" w:cs="Courier New"/>
      <w:b/>
      <w:bCs/>
    </w:rPr>
  </w:style>
  <w:style w:type="paragraph" w:styleId="Heading2">
    <w:name w:val="heading 2"/>
    <w:basedOn w:val="Normal"/>
    <w:next w:val="BodyText"/>
    <w:qFormat/>
    <w:pPr>
      <w:widowControl w:val="false"/>
      <w:numPr>
        <w:ilvl w:val="1"/>
        <w:numId w:val="1"/>
      </w:numPr>
      <w:tabs>
        <w:tab w:val="clear" w:pos="720"/>
        <w:tab w:val="left" w:pos="1080" w:leader="none"/>
      </w:tabs>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Normal"/>
    <w:next w:val="Normal"/>
    <w:qFormat/>
    <w:pPr>
      <w:keepNext w:val="true"/>
      <w:numPr>
        <w:ilvl w:val="3"/>
        <w:numId w:val="1"/>
      </w:numPr>
      <w:outlineLvl w:val="3"/>
    </w:pPr>
    <w:rPr>
      <w:rFonts w:ascii="CG Times (WN)" w:hAnsi="CG Times (WN)" w:eastAsia="CG Times (WN)" w:cs="CG Times (WN)"/>
      <w:b/>
      <w:bCs/>
      <w:sz w:val="22"/>
      <w:szCs w:val="22"/>
    </w:rPr>
  </w:style>
  <w:style w:type="paragraph" w:styleId="Heading5">
    <w:name w:val="heading 5"/>
    <w:basedOn w:val="Normal"/>
    <w:next w:val="Normal"/>
    <w:qFormat/>
    <w:pPr>
      <w:keepNext w:val="true"/>
      <w:numPr>
        <w:ilvl w:val="4"/>
        <w:numId w:val="1"/>
      </w:numPr>
      <w:ind w:firstLine="720" w:start="1440" w:end="0"/>
      <w:jc w:val="center"/>
      <w:outlineLvl w:val="4"/>
    </w:pPr>
    <w:rPr>
      <w:rFonts w:ascii="CG Times (WN)" w:hAnsi="CG Times (WN)" w:eastAsia="CG Times (WN)" w:cs="CG Times (WN)"/>
      <w:b/>
      <w:bCs/>
      <w:sz w:val="22"/>
      <w:szCs w:val="22"/>
    </w:rPr>
  </w:style>
  <w:style w:type="paragraph" w:styleId="Heading6">
    <w:name w:val="heading 6"/>
    <w:basedOn w:val="Normal"/>
    <w:next w:val="BodyText"/>
    <w:qFormat/>
    <w:pPr>
      <w:numPr>
        <w:ilvl w:val="5"/>
        <w:numId w:val="1"/>
      </w:numPr>
      <w:spacing w:before="0" w:after="120"/>
      <w:ind w:hanging="0" w:start="720" w:end="0"/>
      <w:jc w:val="both"/>
      <w:outlineLvl w:val="5"/>
    </w:pPr>
    <w:rPr>
      <w:sz w:val="22"/>
      <w:szCs w:val="22"/>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ParaNum">
    <w:name w:val="ParaNum"/>
    <w:basedOn w:val="DefaultParagraphFont"/>
    <w:qFormat/>
    <w:rPr>
      <w:u w:val="none"/>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rPr>
  </w:style>
  <w:style w:type="paragraph" w:styleId="BodyTextIndent3">
    <w:name w:val="Body Text Indent 3"/>
    <w:basedOn w:val="Normal"/>
    <w:qFormat/>
    <w:pPr>
      <w:ind w:hanging="720" w:start="720" w:end="0"/>
      <w:jc w:val="both"/>
    </w:pPr>
    <w:rPr>
      <w:color w:val="000000"/>
    </w:rPr>
  </w:style>
  <w:style w:type="paragraph" w:styleId="BodyText2">
    <w:name w:val="Body Text 2"/>
    <w:basedOn w:val="Normal"/>
    <w:qFormat/>
    <w:pPr>
      <w:ind w:hanging="0" w:start="720" w:end="0"/>
      <w:jc w:val="both"/>
    </w:pPr>
    <w:rPr/>
  </w:style>
  <w:style w:type="paragraph" w:styleId="WW-BodyText2">
    <w:name w:val="WW-Body Text 2"/>
    <w:basedOn w:val="Normal"/>
    <w:next w:val="Normal"/>
    <w:qFormat/>
    <w:pPr>
      <w:spacing w:before="0" w:after="240"/>
      <w:ind w:firstLine="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BodyTextIndent21">
    <w:name w:val="BodyTextIndent2"/>
    <w:basedOn w:val="Normal"/>
    <w:qFormat/>
    <w:pPr>
      <w:spacing w:before="0" w:after="240"/>
      <w:ind w:firstLine="720" w:start="1440" w:end="0"/>
    </w:pPr>
    <w:rPr/>
  </w:style>
  <w:style w:type="paragraph" w:styleId="Justified">
    <w:name w:val="Justified"/>
    <w:basedOn w:val="Normal"/>
    <w:next w:val="Heading2"/>
    <w:qFormat/>
    <w:pPr>
      <w:spacing w:before="0" w:after="120"/>
    </w:pPr>
    <w:rPr>
      <w:sz w:val="22"/>
      <w:szCs w:val="22"/>
    </w:rPr>
  </w:style>
  <w:style w:type="paragraph" w:styleId="INVOICEHD2">
    <w:name w:val="INVOICE HD2"/>
    <w:basedOn w:val="Normal"/>
    <w:qFormat/>
    <w:pPr>
      <w:tabs>
        <w:tab w:val="clear" w:pos="720"/>
        <w:tab w:val="left" w:pos="4680" w:leader="none"/>
      </w:tabs>
      <w:jc w:val="center"/>
    </w:pPr>
    <w:rPr>
      <w:rFonts w:ascii="Courier" w:hAnsi="Courier" w:eastAsia="Courier" w:cs="Courier"/>
      <w:sz w:val="22"/>
      <w:szCs w:val="22"/>
    </w:rPr>
  </w:style>
  <w:style w:type="paragraph" w:styleId="BodyText3">
    <w:name w:val="Body Text 3"/>
    <w:basedOn w:val="Normal"/>
    <w:qFormat/>
    <w:pPr>
      <w:jc w:val="both"/>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2001-03-06T12:22:00Z</dcterms:created>
  <dc:creator>tva</dc:creator>
  <dc:description/>
  <dc:language>en-CA</dc:language>
  <cp:lastModifiedBy>jmoore2</cp:lastModifiedBy>
  <cp:lastPrinted>2001-03-07T21:31:00Z</cp:lastPrinted>
  <dcterms:modified xsi:type="dcterms:W3CDTF">2001-03-08T20:41:00Z</dcterms:modified>
  <cp:revision>14</cp:revision>
  <dc:subject/>
  <dc:title>521922.01</dc:title>
</cp:coreProperties>
</file>