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Clean Power Group</w:t>
      </w:r>
    </w:p>
    <w:p>
      <w:pPr>
        <w:pStyle w:val="Subtitle"/>
        <w:rPr/>
      </w:pPr>
      <w:r>
        <w:rPr/>
        <w:t>Q &amp; A</w:t>
      </w:r>
    </w:p>
    <w:p>
      <w:pPr>
        <w:pStyle w:val="Normal"/>
        <w:spacing w:lineRule="auto" w:line="240"/>
        <w:jc w:val="center"/>
        <w:rPr>
          <w:b/>
          <w:sz w:val="32"/>
        </w:rPr>
      </w:pPr>
      <w:r>
        <w:rPr>
          <w:b/>
          <w:sz w:val="32"/>
        </w:rPr>
      </w:r>
    </w:p>
    <w:p>
      <w:pPr>
        <w:pStyle w:val="Normal"/>
        <w:spacing w:lineRule="auto" w:line="240"/>
        <w:rPr/>
      </w:pPr>
      <w:r>
        <w:rPr/>
        <w:t>The Clean Power Group has proposed a multipollutant approach to regulation of emissions from the power generation sector.  The plan uses declining caps on NO</w:t>
      </w:r>
      <w:r>
        <w:rPr>
          <w:vertAlign w:val="subscript"/>
        </w:rPr>
        <w:t>x</w:t>
      </w:r>
      <w:r>
        <w:rPr/>
        <w:t>, SO</w:t>
      </w:r>
      <w:r>
        <w:rPr>
          <w:vertAlign w:val="subscript"/>
        </w:rPr>
        <w:t>2</w:t>
      </w:r>
      <w:r>
        <w:rPr/>
        <w:t>, mercury and potentially CO</w:t>
      </w:r>
      <w:r>
        <w:rPr>
          <w:vertAlign w:val="subscript"/>
        </w:rPr>
        <w:t>2</w:t>
      </w:r>
      <w:r>
        <w:rPr/>
        <w:t xml:space="preserve"> to reduce the emissions over time.  A "circuit breaker" keyed to the cost of allowances for each pollutant is used, if necessary, to prevent economic disruption and slow the pace of the decline to allow technology and markets to provide efficient, cost-effective control options.  The plan affects all power generators greater than 10 MW including renewables and also gives direct credit to end use efficiency (conservation).  Smaller generators have the option of opting into the program.  Allowances for each pollutant are allocated annually based on the generation from each plant.  The plan replaces the NSR BACT/LAER and offsets provisions for affected plants.  It would also replace the acid rain, regional haze, regional NO</w:t>
      </w:r>
      <w:r>
        <w:rPr>
          <w:vertAlign w:val="subscript"/>
        </w:rPr>
        <w:t>x</w:t>
      </w:r>
      <w:r>
        <w:rPr/>
        <w:t>, mercury MACT and other programs currently targeting these pollutants.  NSPS and local NAAQS impacts requirements would still apply.</w:t>
      </w:r>
    </w:p>
    <w:p>
      <w:pPr>
        <w:pStyle w:val="Normal"/>
        <w:spacing w:lineRule="auto" w:line="240"/>
        <w:rPr/>
      </w:pPr>
      <w:r>
        <w:rPr/>
      </w:r>
    </w:p>
    <w:p>
      <w:pPr>
        <w:pStyle w:val="Normal"/>
        <w:spacing w:lineRule="auto" w:line="240"/>
        <w:rPr>
          <w:b/>
        </w:rPr>
      </w:pPr>
      <w:r>
        <w:rPr>
          <w:b/>
        </w:rPr>
        <w:t>What are the benefits of the plan?</w:t>
      </w:r>
    </w:p>
    <w:p>
      <w:pPr>
        <w:pStyle w:val="Bullet1"/>
        <w:numPr>
          <w:ilvl w:val="0"/>
          <w:numId w:val="4"/>
        </w:numPr>
        <w:rPr/>
      </w:pPr>
      <w:r>
        <w:rPr/>
        <w:t>The emission reductions start earlier than in other plans.  If passed this year, the program would start in 2003.  This can be done because the program starts with small reductions that don't require the long compliance lead times of large, "all at once" reduction programs.  Nevertheless, the early phase-in creates significant early reduction benefits.</w:t>
      </w:r>
    </w:p>
    <w:p>
      <w:pPr>
        <w:pStyle w:val="Bullet1"/>
        <w:numPr>
          <w:ilvl w:val="0"/>
          <w:numId w:val="4"/>
        </w:numPr>
        <w:rPr/>
      </w:pPr>
      <w:r>
        <w:rPr/>
        <w:t>The emission reductions continue over time.  Fixed cap programs are based on arbitrarily defined caps.  There is no objective reason to think that the levels proposed in various current plans are the right or final levels.  Our experience is that we always find reasons to want greater reductions.  We should acknowledge that and find a way to achieve continuing reductions efficiently and cost-effectively.  The Clean Power Group declining cap meets that goal.</w:t>
      </w:r>
    </w:p>
    <w:p>
      <w:pPr>
        <w:pStyle w:val="Bullet1"/>
        <w:numPr>
          <w:ilvl w:val="0"/>
          <w:numId w:val="4"/>
        </w:numPr>
        <w:rPr/>
      </w:pPr>
      <w:r>
        <w:rPr/>
        <w:t>The gradual phase-in allows time for new technology to come into the market.  The coordinated multipollutant reductions encourage the use of multipollutant technologies, including efficiency, to reduce emissions cost-effectively.  The continuing reductions provide a continuing driver for technology improvement, which keeps cost in check.</w:t>
      </w:r>
    </w:p>
    <w:p>
      <w:pPr>
        <w:pStyle w:val="Bullet1"/>
        <w:numPr>
          <w:ilvl w:val="0"/>
          <w:numId w:val="4"/>
        </w:numPr>
        <w:rPr/>
      </w:pPr>
      <w:r>
        <w:rPr/>
        <w:t xml:space="preserve">The continuing reductions and technology-forcing functions serve the main goals of the NSR program except that they do a better job.  </w:t>
      </w:r>
    </w:p>
    <w:p>
      <w:pPr>
        <w:pStyle w:val="Bullet2"/>
        <w:numPr>
          <w:ilvl w:val="0"/>
          <w:numId w:val="6"/>
        </w:numPr>
        <w:rPr/>
      </w:pPr>
      <w:r>
        <w:rPr/>
        <w:t xml:space="preserve">NSR's </w:t>
      </w:r>
      <w:r>
        <w:rPr>
          <w:b/>
        </w:rPr>
        <w:t>technology-forcing</w:t>
      </w:r>
      <w:r>
        <w:rPr/>
        <w:t xml:space="preserve"> effect is limited to new and modified sources and hasn't worked very well on modified sources.  It is also limited to end-of-pipe controls and doesn't work well to encourage efficiency or pollution prevention.  The declining cap approach promotes all new technologies for all fuels for all plants.  </w:t>
      </w:r>
    </w:p>
    <w:p>
      <w:pPr>
        <w:pStyle w:val="Bullet2"/>
        <w:numPr>
          <w:ilvl w:val="0"/>
          <w:numId w:val="6"/>
        </w:numPr>
        <w:rPr/>
      </w:pPr>
      <w:r>
        <w:rPr/>
        <w:t xml:space="preserve">NSR also drives </w:t>
      </w:r>
      <w:r>
        <w:rPr>
          <w:b/>
        </w:rPr>
        <w:t>emissions reductions</w:t>
      </w:r>
      <w:r>
        <w:rPr/>
        <w:t xml:space="preserve"> only on new and modified plants and hasn't worked well on modified plants.  In aggregate there is no guarantee that total emissions will go down and historically, they have not.  Within a cap and trade program, NSR does not guarantee any reduction at all.  The declining cap sets a glideslope of assured emission reduction even without NSR.</w:t>
      </w:r>
    </w:p>
    <w:p>
      <w:pPr>
        <w:pStyle w:val="Bullet1"/>
        <w:numPr>
          <w:ilvl w:val="0"/>
          <w:numId w:val="2"/>
        </w:numPr>
        <w:rPr/>
      </w:pPr>
      <w:r>
        <w:rPr/>
        <w:t>Industry has greater certainty with the declining cap.  Under an "all-at-once" cap reduction program, industry has to commit to massive capital investments in advance without any real knowledge of how the whole system will behave, how well technologies will perform, how emission trading markets will respond, etc.  Under the declining cap reductions are phased in gradually.  There is time to get accurate indicators of all of these factors.  Investment can be made gradually with accurate price signals and market feedback on what is a prudent investment.  In addition, the replacement of NSR removes the uncertainty and inefficiency related to that program and allows greater flexibility to find the right solutions.</w:t>
      </w:r>
    </w:p>
    <w:p>
      <w:pPr>
        <w:pStyle w:val="Bullet1"/>
        <w:numPr>
          <w:ilvl w:val="0"/>
          <w:numId w:val="2"/>
        </w:numPr>
        <w:rPr/>
      </w:pPr>
      <w:r>
        <w:rPr/>
        <w:t>The declining cap uses the trading program to find the lowest cost reductions at every step.  The lowest cost reductions are typically at the highest emitting plants, so the program creates an economic incentive to clean up the highest emitting plants first.  At the same time, it minimizes the overall cost at every step.</w:t>
      </w:r>
    </w:p>
    <w:p>
      <w:pPr>
        <w:pStyle w:val="Bullet1"/>
        <w:numPr>
          <w:ilvl w:val="0"/>
          <w:numId w:val="2"/>
        </w:numPr>
        <w:rPr/>
      </w:pPr>
      <w:r>
        <w:rPr/>
        <w:t>The improved technology available through the declining cap reduces the compliance cost to industry and to consumers.</w:t>
      </w:r>
    </w:p>
    <w:p>
      <w:pPr>
        <w:pStyle w:val="Normal"/>
        <w:spacing w:lineRule="auto" w:line="240"/>
        <w:rPr/>
      </w:pPr>
      <w:r>
        <w:rPr/>
      </w:r>
    </w:p>
    <w:p>
      <w:pPr>
        <w:pStyle w:val="Normal"/>
        <w:spacing w:lineRule="auto" w:line="240"/>
        <w:rPr>
          <w:b/>
        </w:rPr>
      </w:pPr>
      <w:r>
        <w:rPr>
          <w:b/>
        </w:rPr>
        <w:t>What are the glideslopes of the declining caps?</w:t>
      </w:r>
    </w:p>
    <w:p>
      <w:pPr>
        <w:pStyle w:val="Normal"/>
        <w:spacing w:lineRule="auto" w:line="240"/>
        <w:rPr/>
      </w:pPr>
      <w:r>
        <w:rPr/>
        <w:t>The glideslopes are discussed in detail in a separate write-up.</w:t>
      </w:r>
    </w:p>
    <w:p>
      <w:pPr>
        <w:pStyle w:val="Normal"/>
        <w:spacing w:lineRule="auto" w:line="240"/>
        <w:rPr/>
      </w:pPr>
      <w:r>
        <w:rPr/>
      </w:r>
    </w:p>
    <w:p>
      <w:pPr>
        <w:pStyle w:val="Normal"/>
        <w:spacing w:lineRule="auto" w:line="240"/>
        <w:rPr>
          <w:b/>
        </w:rPr>
      </w:pPr>
      <w:r>
        <w:rPr>
          <w:b/>
        </w:rPr>
        <w:t>How do we set the circuit breakers?</w:t>
      </w:r>
    </w:p>
    <w:p>
      <w:pPr>
        <w:pStyle w:val="Normal"/>
        <w:spacing w:lineRule="auto" w:line="240"/>
        <w:rPr/>
      </w:pPr>
      <w:r>
        <w:rPr/>
        <w:t>The role of the circuit breaker is to ensure that there is a continuing economic driver to develop and apply more effective, cost-effective technology for efficient, clean generation using all fuels and generating options.  At the same time, it serves to protect the industry and the economy from excessive costs as the cap continues to get tighter by keeping the pace of reduction in step with the availability of technology and performance of markets that can maintain the glideslope.  Because the declining cap and the circuit breaker performance are keyed to technology, the circuit breakers are based on current expectations for the cost of control based on known technology.  Our experience has shown that we tend to overestimate these costs, so these estimates should give us some leeway to ensure that we keep going down the glideslope.  Based on these types of technology estimates, the circuit breakers are set at:</w:t>
      </w:r>
    </w:p>
    <w:p>
      <w:pPr>
        <w:pStyle w:val="Normal"/>
        <w:spacing w:lineRule="auto" w:line="240"/>
        <w:rPr/>
      </w:pPr>
      <w:r>
        <w:rPr/>
      </w:r>
    </w:p>
    <w:p>
      <w:pPr>
        <w:pStyle w:val="Normal"/>
        <w:spacing w:lineRule="auto" w:line="240"/>
        <w:jc w:val="center"/>
        <w:rPr/>
      </w:pPr>
      <w:r>
        <w:rPr/>
        <w:t>Circuit Breaker Values</w:t>
      </w:r>
    </w:p>
    <w:tbl>
      <w:tblPr>
        <w:tblW w:w="2974" w:type="dxa"/>
        <w:jc w:val="center"/>
        <w:tblInd w:w="0" w:type="dxa"/>
        <w:tblLayout w:type="fixed"/>
        <w:tblCellMar>
          <w:top w:w="0" w:type="dxa"/>
          <w:start w:w="108" w:type="dxa"/>
          <w:bottom w:w="0" w:type="dxa"/>
          <w:end w:w="108" w:type="dxa"/>
        </w:tblCellMar>
      </w:tblPr>
      <w:tblGrid>
        <w:gridCol w:w="1163"/>
        <w:gridCol w:w="1811"/>
      </w:tblGrid>
      <w:tr>
        <w:trPr/>
        <w:tc>
          <w:tcPr>
            <w:tcW w:w="1163" w:type="dxa"/>
            <w:tcBorders>
              <w:top w:val="single" w:sz="12" w:space="0" w:color="008000"/>
              <w:bottom w:val="single" w:sz="6" w:space="0" w:color="008000"/>
            </w:tcBorders>
          </w:tcPr>
          <w:p>
            <w:pPr>
              <w:pStyle w:val="Normal"/>
              <w:snapToGrid w:val="false"/>
              <w:spacing w:lineRule="auto" w:line="240"/>
              <w:rPr/>
            </w:pPr>
            <w:r>
              <w:rPr/>
            </w:r>
          </w:p>
        </w:tc>
        <w:tc>
          <w:tcPr>
            <w:tcW w:w="1811" w:type="dxa"/>
            <w:tcBorders>
              <w:top w:val="single" w:sz="12" w:space="0" w:color="008000"/>
              <w:bottom w:val="single" w:sz="6" w:space="0" w:color="008000"/>
            </w:tcBorders>
          </w:tcPr>
          <w:p>
            <w:pPr>
              <w:pStyle w:val="Normal"/>
              <w:spacing w:lineRule="auto" w:line="240"/>
              <w:jc w:val="center"/>
              <w:rPr/>
            </w:pPr>
            <w:r>
              <w:rPr/>
              <w:t>Circuit Breaker</w:t>
            </w:r>
          </w:p>
          <w:p>
            <w:pPr>
              <w:pStyle w:val="Normal"/>
              <w:spacing w:lineRule="auto" w:line="240"/>
              <w:jc w:val="center"/>
              <w:rPr/>
            </w:pPr>
            <w:r>
              <w:rPr/>
              <w:t>($/ton)</w:t>
            </w:r>
          </w:p>
        </w:tc>
      </w:tr>
      <w:tr>
        <w:trPr/>
        <w:tc>
          <w:tcPr>
            <w:tcW w:w="1163" w:type="dxa"/>
            <w:tcBorders/>
          </w:tcPr>
          <w:p>
            <w:pPr>
              <w:pStyle w:val="Normal"/>
              <w:spacing w:lineRule="auto" w:line="240"/>
              <w:rPr/>
            </w:pPr>
            <w:r>
              <w:rPr/>
              <w:t>SO</w:t>
            </w:r>
            <w:r>
              <w:rPr>
                <w:vertAlign w:val="subscript"/>
              </w:rPr>
              <w:t>2</w:t>
            </w:r>
            <w:r>
              <w:rPr/>
              <w:t xml:space="preserve"> </w:t>
            </w:r>
          </w:p>
        </w:tc>
        <w:tc>
          <w:tcPr>
            <w:tcW w:w="1811" w:type="dxa"/>
            <w:tcBorders/>
          </w:tcPr>
          <w:p>
            <w:pPr>
              <w:pStyle w:val="Normal"/>
              <w:spacing w:lineRule="auto" w:line="240"/>
              <w:jc w:val="center"/>
              <w:rPr/>
            </w:pPr>
            <w:r>
              <w:rPr/>
              <w:t>$600</w:t>
            </w:r>
          </w:p>
        </w:tc>
      </w:tr>
      <w:tr>
        <w:trPr/>
        <w:tc>
          <w:tcPr>
            <w:tcW w:w="1163" w:type="dxa"/>
            <w:tcBorders/>
          </w:tcPr>
          <w:p>
            <w:pPr>
              <w:pStyle w:val="Normal"/>
              <w:spacing w:lineRule="auto" w:line="240"/>
              <w:rPr/>
            </w:pPr>
            <w:r>
              <w:rPr/>
              <w:t>NO</w:t>
            </w:r>
            <w:r>
              <w:rPr>
                <w:vertAlign w:val="subscript"/>
              </w:rPr>
              <w:t>x</w:t>
            </w:r>
          </w:p>
        </w:tc>
        <w:tc>
          <w:tcPr>
            <w:tcW w:w="1811" w:type="dxa"/>
            <w:tcBorders/>
          </w:tcPr>
          <w:p>
            <w:pPr>
              <w:pStyle w:val="Normal"/>
              <w:spacing w:lineRule="auto" w:line="240"/>
              <w:jc w:val="center"/>
              <w:rPr/>
            </w:pPr>
            <w:r>
              <w:rPr/>
              <w:t>$3,000</w:t>
            </w:r>
          </w:p>
        </w:tc>
      </w:tr>
      <w:tr>
        <w:trPr/>
        <w:tc>
          <w:tcPr>
            <w:tcW w:w="1163" w:type="dxa"/>
            <w:tcBorders>
              <w:bottom w:val="single" w:sz="12" w:space="0" w:color="008000"/>
            </w:tcBorders>
          </w:tcPr>
          <w:p>
            <w:pPr>
              <w:pStyle w:val="Normal"/>
              <w:spacing w:lineRule="auto" w:line="240"/>
              <w:rPr/>
            </w:pPr>
            <w:r>
              <w:rPr/>
              <w:t>Mercury</w:t>
            </w:r>
          </w:p>
        </w:tc>
        <w:tc>
          <w:tcPr>
            <w:tcW w:w="1811" w:type="dxa"/>
            <w:tcBorders>
              <w:bottom w:val="single" w:sz="12" w:space="0" w:color="008000"/>
            </w:tcBorders>
          </w:tcPr>
          <w:p>
            <w:pPr>
              <w:pStyle w:val="Normal"/>
              <w:spacing w:lineRule="auto" w:line="240"/>
              <w:jc w:val="center"/>
              <w:rPr/>
            </w:pPr>
            <w:r>
              <w:rPr/>
              <w:t>$35,000</w:t>
            </w:r>
          </w:p>
        </w:tc>
      </w:tr>
    </w:tbl>
    <w:p>
      <w:pPr>
        <w:pStyle w:val="Normal"/>
        <w:spacing w:lineRule="auto" w:line="240"/>
        <w:rPr/>
      </w:pPr>
      <w:r>
        <w:rPr/>
      </w:r>
    </w:p>
    <w:p>
      <w:pPr>
        <w:pStyle w:val="Normal"/>
        <w:spacing w:lineRule="auto" w:line="240"/>
        <w:rPr/>
      </w:pPr>
      <w:r>
        <w:rPr/>
        <w:t>If CO</w:t>
      </w:r>
      <w:r>
        <w:rPr>
          <w:vertAlign w:val="subscript"/>
        </w:rPr>
        <w:t>2</w:t>
      </w:r>
      <w:r>
        <w:rPr/>
        <w:t xml:space="preserve"> is included, the circuit breaker needs to be set differently.  Since we don't know how we would meet a CO</w:t>
      </w:r>
      <w:r>
        <w:rPr>
          <w:vertAlign w:val="subscript"/>
        </w:rPr>
        <w:t>2</w:t>
      </w:r>
      <w:r>
        <w:rPr/>
        <w:t xml:space="preserve"> limit, the circuit breaker will be set somewhat arbitrarily.  One approach would be to start from the electricity impact that is economically acceptable.  For example, if we think we are willing to pay a half cent per kWh for carbon mitigation, we could set the circuit breaker at the CO</w:t>
      </w:r>
      <w:r>
        <w:rPr>
          <w:vertAlign w:val="subscript"/>
        </w:rPr>
        <w:t>2</w:t>
      </w:r>
      <w:r>
        <w:rPr/>
        <w:t xml:space="preserve"> equivalent, about $5/ton.  This circuit breaker would be combined with a very gradual glideslope to see how well the system can respond to CO</w:t>
      </w:r>
      <w:r>
        <w:rPr>
          <w:vertAlign w:val="subscript"/>
        </w:rPr>
        <w:t>2</w:t>
      </w:r>
      <w:r>
        <w:rPr/>
        <w:t xml:space="preserve"> reduction.  Both the slope and circuit breaker could be adjusted up or down depending on the response.</w:t>
      </w:r>
    </w:p>
    <w:p>
      <w:pPr>
        <w:pStyle w:val="Normal"/>
        <w:spacing w:lineRule="auto" w:line="240"/>
        <w:rPr/>
      </w:pPr>
      <w:r>
        <w:rPr/>
      </w:r>
    </w:p>
    <w:p>
      <w:pPr>
        <w:pStyle w:val="Normal"/>
        <w:spacing w:lineRule="auto" w:line="240"/>
        <w:rPr>
          <w:b/>
        </w:rPr>
      </w:pPr>
      <w:r>
        <w:rPr>
          <w:b/>
        </w:rPr>
        <w:t>How does the plan really work compared to a system with NSR?</w:t>
      </w:r>
    </w:p>
    <w:p>
      <w:pPr>
        <w:pStyle w:val="Normal"/>
        <w:spacing w:lineRule="auto" w:line="240"/>
        <w:rPr/>
      </w:pPr>
      <w:r>
        <w:rPr/>
        <w:t xml:space="preserve">All of the multipollutant plans currently under consideration use a cap and trade program.  The critical point is that the cap is the overall controlling function in these programs.  On a long-term basis, the emissions will be neither higher nor lower than the cap level, regardless of whether there is NSR.  </w:t>
      </w:r>
    </w:p>
    <w:p>
      <w:pPr>
        <w:pStyle w:val="Normal"/>
        <w:spacing w:lineRule="auto" w:line="240"/>
        <w:rPr/>
      </w:pPr>
      <w:r>
        <w:rPr/>
      </w:r>
    </w:p>
    <w:p>
      <w:pPr>
        <w:pStyle w:val="Normal"/>
        <w:spacing w:lineRule="auto" w:line="240"/>
        <w:rPr/>
      </w:pPr>
      <w:r>
        <w:rPr/>
        <w:t>As an example, think about the existing SO</w:t>
      </w:r>
      <w:r>
        <w:rPr>
          <w:vertAlign w:val="subscript"/>
        </w:rPr>
        <w:t>2</w:t>
      </w:r>
      <w:r>
        <w:rPr/>
        <w:t xml:space="preserve"> cap program.  Under that program, SO</w:t>
      </w:r>
      <w:r>
        <w:rPr>
          <w:vertAlign w:val="subscript"/>
        </w:rPr>
        <w:t>2</w:t>
      </w:r>
      <w:r>
        <w:rPr/>
        <w:t xml:space="preserve"> emissions from power plants are limited to roughly 8.95 million tons per year.  Consider a new coal-fired plant built today with potential SO</w:t>
      </w:r>
      <w:r>
        <w:rPr>
          <w:vertAlign w:val="subscript"/>
        </w:rPr>
        <w:t>2</w:t>
      </w:r>
      <w:r>
        <w:rPr/>
        <w:t xml:space="preserve"> emissions of 130,000 tons per year.  The plant must acquire SO</w:t>
      </w:r>
      <w:r>
        <w:rPr>
          <w:vertAlign w:val="subscript"/>
        </w:rPr>
        <w:t>2</w:t>
      </w:r>
      <w:r>
        <w:rPr/>
        <w:t xml:space="preserve"> allowances from some other source equal to its emissions.  Under New Source Performance Standards, it must apply a 90% effective scrubber, bringing its emissions down to 13,000 tons per year.  Let's say that NSR requires the plant to increase its scrubber effectiveness to 95%.  This would "reduce" another 6,500 tons per year.  However, the 6,500 tons of SO</w:t>
      </w:r>
      <w:r>
        <w:rPr>
          <w:vertAlign w:val="subscript"/>
        </w:rPr>
        <w:t>2</w:t>
      </w:r>
      <w:r>
        <w:rPr/>
        <w:t xml:space="preserve"> allowances freed up by this reduction will be used at another plant, which will increase its emissions by an equal amount.  </w:t>
      </w:r>
    </w:p>
    <w:p>
      <w:pPr>
        <w:pStyle w:val="Normal"/>
        <w:spacing w:lineRule="auto" w:line="240"/>
        <w:rPr/>
      </w:pPr>
      <w:r>
        <w:rPr/>
      </w:r>
    </w:p>
    <w:p>
      <w:pPr>
        <w:pStyle w:val="Normal"/>
        <w:spacing w:lineRule="auto" w:line="240"/>
        <w:rPr/>
      </w:pPr>
      <w:r>
        <w:rPr/>
        <w:t>The total SO</w:t>
      </w:r>
      <w:r>
        <w:rPr>
          <w:vertAlign w:val="subscript"/>
        </w:rPr>
        <w:t>2</w:t>
      </w:r>
      <w:r>
        <w:rPr/>
        <w:t xml:space="preserve"> emissions from all power plants will still be 8.95 million tons.  The "reduction" brought about by NSR has not reduced total emissions at all.  The cap is a zero sum game whether there is NSR or not.  The only impact of NSR is to force reductions to be made at a higher cost rather than allowing the market to find the lowest cost option.  It may also slow the introduction of new, more efficient technology because of permitting hurdles.  The only time that the cap is not controlling is if plant-by-plant limits in aggregate are more stringent than the emissions cap.  This is not the goal or structure of any of the proposals under active consideration.</w:t>
      </w:r>
    </w:p>
    <w:p>
      <w:pPr>
        <w:pStyle w:val="Normal"/>
        <w:spacing w:lineRule="auto" w:line="240"/>
        <w:rPr/>
      </w:pPr>
      <w:r>
        <w:rPr/>
      </w:r>
    </w:p>
    <w:p>
      <w:pPr>
        <w:pStyle w:val="Normal"/>
        <w:spacing w:lineRule="auto" w:line="240"/>
        <w:rPr>
          <w:b/>
        </w:rPr>
      </w:pPr>
      <w:r>
        <w:rPr>
          <w:b/>
        </w:rPr>
        <w:t>Don’t we need to BACT and LAER to avoid local impacts?</w:t>
      </w:r>
    </w:p>
    <w:p>
      <w:pPr>
        <w:pStyle w:val="Normal"/>
        <w:spacing w:lineRule="auto" w:line="240"/>
        <w:rPr/>
      </w:pPr>
      <w:r>
        <w:rPr/>
        <w:t xml:space="preserve">Applying BACT or LAER does not guarantee the best local results.  </w:t>
      </w:r>
    </w:p>
    <w:p>
      <w:pPr>
        <w:pStyle w:val="Bullet1"/>
        <w:numPr>
          <w:ilvl w:val="0"/>
          <w:numId w:val="5"/>
        </w:numPr>
        <w:rPr/>
      </w:pPr>
      <w:r>
        <w:rPr/>
        <w:t xml:space="preserve">A new plant can apply BACT and still create a local exceedance of the NAAQS.  The declining cap program requires a local impacts review to prevent local exceedances regardless of the technology applied.  </w:t>
      </w:r>
    </w:p>
    <w:p>
      <w:pPr>
        <w:pStyle w:val="Bullet1"/>
        <w:numPr>
          <w:ilvl w:val="0"/>
          <w:numId w:val="5"/>
        </w:numPr>
        <w:rPr/>
      </w:pPr>
      <w:r>
        <w:rPr/>
        <w:t xml:space="preserve">If there were large existing emissions sources in the area, local air quality would be better served by reducing emissions from the old sources than by making greater emissions reductions at much cleaner new sources.  </w:t>
      </w:r>
    </w:p>
    <w:p>
      <w:pPr>
        <w:pStyle w:val="Normal"/>
        <w:spacing w:lineRule="auto" w:line="240"/>
        <w:rPr/>
      </w:pPr>
      <w:r>
        <w:rPr/>
        <w:t xml:space="preserve">The way to improve local air quality is to ensure that new sources do not cause a NAAQS exceedance by themselves and to reduce the overall level of existing emissions, starting with the highest emitters first.  The declining cap does both of those things.  </w:t>
      </w:r>
    </w:p>
    <w:p>
      <w:pPr>
        <w:pStyle w:val="Normal"/>
        <w:spacing w:lineRule="auto" w:line="240"/>
        <w:rPr/>
      </w:pPr>
      <w:r>
        <w:rPr/>
      </w:r>
    </w:p>
    <w:p>
      <w:pPr>
        <w:pStyle w:val="Normal"/>
        <w:spacing w:lineRule="auto" w:line="240"/>
        <w:rPr/>
      </w:pPr>
      <w:r>
        <w:rPr/>
        <w:t>For mercury, a minimum performance requirement will take the place of the NAAQS.  The EPA will set a plant-level emission limit (lb/MWh) for 2008 that will operate in parallel with the cap and prevent hot spots.</w:t>
      </w:r>
    </w:p>
    <w:p>
      <w:pPr>
        <w:pStyle w:val="Normal"/>
        <w:spacing w:lineRule="auto" w:line="240"/>
        <w:rPr/>
      </w:pPr>
      <w:r>
        <w:rPr/>
      </w:r>
    </w:p>
    <w:p>
      <w:pPr>
        <w:pStyle w:val="Normal"/>
        <w:spacing w:lineRule="auto" w:line="240"/>
        <w:rPr>
          <w:b/>
        </w:rPr>
      </w:pPr>
      <w:r>
        <w:rPr>
          <w:b/>
        </w:rPr>
        <w:t>Does the program address regional issues?</w:t>
      </w:r>
    </w:p>
    <w:p>
      <w:pPr>
        <w:pStyle w:val="Normal"/>
        <w:spacing w:lineRule="auto" w:line="240"/>
        <w:rPr/>
      </w:pPr>
      <w:r>
        <w:rPr/>
        <w:t>First, EPA analysis of the acid rain program and modeling of the SIP call program have shown that even with allowance trading, there is little long range transfer of allowances.  Reductions tend to be made close to where they are needed.  Secondly, there is increasing convergence between regional and national programs.  The SO</w:t>
      </w:r>
      <w:r>
        <w:rPr>
          <w:vertAlign w:val="subscript"/>
        </w:rPr>
        <w:t>2</w:t>
      </w:r>
      <w:r>
        <w:rPr/>
        <w:t xml:space="preserve"> program is national, but there are still regional concerns about acid deposition.  Ozone attainment is supposed to be local but continues to grow into a larger and larger regional issue.  Regional haze is a national program.  Mercury is seen as a local problem but only one third of mercury emissions are deposited locally.  </w:t>
      </w:r>
    </w:p>
    <w:p>
      <w:pPr>
        <w:pStyle w:val="Normal"/>
        <w:spacing w:lineRule="auto" w:line="240"/>
        <w:rPr/>
      </w:pPr>
      <w:r>
        <w:rPr/>
      </w:r>
    </w:p>
    <w:p>
      <w:pPr>
        <w:pStyle w:val="Normal"/>
        <w:spacing w:lineRule="auto" w:line="240"/>
        <w:rPr/>
      </w:pPr>
      <w:r>
        <w:rPr/>
        <w:t>The only real solution to local problems is to reduce the overall level of emissions.  Arbitrarily set fixed caps cannot be relied on to solve this problem.  We need a long range plan to continue to drive down emissions in a rational, and cost effective way.  The declining cap/circuit breaker approach meets that goal.  When national levels of emissions continue to decline, both national and regional issues will be addressed.</w:t>
      </w:r>
    </w:p>
    <w:p>
      <w:pPr>
        <w:pStyle w:val="Normal"/>
        <w:spacing w:lineRule="auto" w:line="240"/>
        <w:rPr/>
      </w:pPr>
      <w:r>
        <w:rPr/>
      </w:r>
    </w:p>
    <w:p>
      <w:pPr>
        <w:pStyle w:val="Normal"/>
        <w:spacing w:lineRule="auto" w:line="240"/>
        <w:rPr>
          <w:b/>
        </w:rPr>
      </w:pPr>
      <w:r>
        <w:rPr>
          <w:b/>
        </w:rPr>
        <w:t>What about nonattainment areas?</w:t>
      </w:r>
    </w:p>
    <w:p>
      <w:pPr>
        <w:pStyle w:val="Normal"/>
        <w:spacing w:lineRule="auto" w:line="240"/>
        <w:rPr/>
      </w:pPr>
      <w:r>
        <w:rPr/>
        <w:t>There are a very few areas where certain power plant emissions may need to be locally limited to meet air quality goals.  These are areas with unique geographic or meteorological or emissions inventory characteristics.  In these limited areas, the program would allow the EPA to limit the ability to trade allowances into the region for those emissions.  The only likely candidates today would be NO</w:t>
      </w:r>
      <w:r>
        <w:rPr>
          <w:vertAlign w:val="subscript"/>
        </w:rPr>
        <w:t>x</w:t>
      </w:r>
      <w:r>
        <w:rPr/>
        <w:t xml:space="preserve"> trading into parts of California and East Texas.  </w:t>
      </w:r>
    </w:p>
    <w:p>
      <w:pPr>
        <w:pStyle w:val="Normal"/>
        <w:spacing w:lineRule="auto" w:line="240"/>
        <w:rPr/>
      </w:pPr>
      <w:r>
        <w:rPr/>
      </w:r>
    </w:p>
    <w:p>
      <w:pPr>
        <w:pStyle w:val="Normal"/>
        <w:spacing w:lineRule="auto" w:line="240"/>
        <w:rPr>
          <w:b/>
        </w:rPr>
      </w:pPr>
      <w:r>
        <w:rPr>
          <w:b/>
        </w:rPr>
        <w:t>The glideslope looks good but how do we know that we will stick to it?  Is there a backstop?</w:t>
      </w:r>
    </w:p>
    <w:p>
      <w:pPr>
        <w:pStyle w:val="Normal"/>
        <w:spacing w:lineRule="auto" w:line="240"/>
        <w:rPr/>
      </w:pPr>
      <w:r>
        <w:rPr/>
        <w:t xml:space="preserve">Our entire history of pollution control programs tells us that we can continue to make reductions more efficiently and cost-effectively over time with a properly designed system.  That said, we don't know exactly when there will be slow points in the technology development.  Also, while we believe that the system will not be gamed, we want to be sure that that does not happen.  </w:t>
      </w:r>
    </w:p>
    <w:p>
      <w:pPr>
        <w:pStyle w:val="Normal"/>
        <w:spacing w:lineRule="auto" w:line="240"/>
        <w:rPr/>
      </w:pPr>
      <w:r>
        <w:rPr/>
      </w:r>
    </w:p>
    <w:p>
      <w:pPr>
        <w:pStyle w:val="Normal"/>
        <w:spacing w:lineRule="auto" w:line="240"/>
        <w:rPr/>
      </w:pPr>
      <w:r>
        <w:rPr/>
        <w:t>There are some generally accepted goals for reduction of SO</w:t>
      </w:r>
      <w:r>
        <w:rPr>
          <w:vertAlign w:val="subscript"/>
        </w:rPr>
        <w:t>2</w:t>
      </w:r>
      <w:r>
        <w:rPr/>
        <w:t xml:space="preserve"> and NO</w:t>
      </w:r>
      <w:r>
        <w:rPr>
          <w:vertAlign w:val="subscript"/>
        </w:rPr>
        <w:t>x</w:t>
      </w:r>
      <w:r>
        <w:rPr/>
        <w:t xml:space="preserve"> for the 2007/08 time period.  The declining cap program sets these as milestones.  If the program does not reach these levels on that schedule, it will automatically ratchet to those levels and then reset itself to work down from there.  Thus there is certainty of reaching those levels and substantial environmental upside to do better.  If the program works anywhere near as well as we think it will, this backstop will never be exercised.</w:t>
      </w:r>
    </w:p>
    <w:p>
      <w:pPr>
        <w:pStyle w:val="Normal"/>
        <w:spacing w:lineRule="auto" w:line="240"/>
        <w:rPr/>
      </w:pPr>
      <w:r>
        <w:rPr/>
      </w:r>
    </w:p>
    <w:p>
      <w:pPr>
        <w:pStyle w:val="Normal"/>
        <w:spacing w:lineRule="auto" w:line="240"/>
        <w:rPr/>
      </w:pPr>
      <w:r>
        <w:rPr/>
        <w:t>For mercury, the plan uses a hybrid system.  The declining cap is the initial driver.  In 2008, however, a minimum performance level set by the EPA will kick in.  This prevents hot spots but also ensures that a certain level of control is achieved regardless of the cap performance.</w:t>
      </w:r>
    </w:p>
    <w:p>
      <w:pPr>
        <w:pStyle w:val="Normal"/>
        <w:spacing w:lineRule="auto" w:line="240"/>
        <w:rPr/>
      </w:pPr>
      <w:r>
        <w:rPr/>
      </w:r>
      <w:r>
        <w:br w:type="page"/>
      </w:r>
    </w:p>
    <w:p>
      <w:pPr>
        <w:pStyle w:val="Normal"/>
        <w:spacing w:lineRule="auto" w:line="240"/>
        <w:rPr>
          <w:b/>
        </w:rPr>
      </w:pPr>
      <w:r>
        <w:rPr>
          <w:b/>
        </w:rPr>
        <w:t>NSR is technology forcing, how is this plan different or better?</w:t>
      </w:r>
    </w:p>
    <w:p>
      <w:pPr>
        <w:pStyle w:val="Normal"/>
        <w:spacing w:lineRule="auto" w:line="240"/>
        <w:rPr/>
      </w:pPr>
      <w:r>
        <w:rPr/>
        <w:t xml:space="preserve">The NSR process prescribes the adoption of specific technologies once they are available.  It provides little or no incentive to adopt better technologies, since there is no chance for cost reduction.  It also focuses on add-on controls to the exclusion of pollution prevention and efficiency.  The U.S. has spent billions of dollars on R&amp;D programs for higher efficiency and lower emitting technologies that are not recognized or rewarded by NSR.  Many have not become commercial because their environmental value cannot be recognized in the market.  </w:t>
      </w:r>
    </w:p>
    <w:p>
      <w:pPr>
        <w:pStyle w:val="Normal"/>
        <w:spacing w:lineRule="auto" w:line="240"/>
        <w:rPr/>
      </w:pPr>
      <w:r>
        <w:rPr/>
      </w:r>
    </w:p>
    <w:p>
      <w:pPr>
        <w:pStyle w:val="Normal"/>
        <w:tabs>
          <w:tab w:val="clear" w:pos="720"/>
          <w:tab w:val="left" w:pos="-720" w:leader="none"/>
        </w:tabs>
        <w:spacing w:lineRule="auto" w:line="240"/>
        <w:rPr/>
      </w:pPr>
      <w:r>
        <w:rPr/>
        <w:t>For example, coal gasification combined cycle technology is significantly cleaner and more efficient than conventional coal technology.  However, in the NSR perspective it still triggers requirements for add-on control technology.  The efficiency and low emissions benefits of gasification come with a capital cost.  Since NSR is a cost-based system, it is requires users to duplicate capital investment for add-on controls where they have already provided a reduction through efficiency and pollution prevention.  The introduction of new technologies will not take place if users have to pay twice.</w:t>
      </w:r>
    </w:p>
    <w:p>
      <w:pPr>
        <w:pStyle w:val="Normal"/>
        <w:spacing w:lineRule="auto" w:line="240"/>
        <w:rPr/>
      </w:pPr>
      <w:r>
        <w:rPr/>
      </w:r>
    </w:p>
    <w:p>
      <w:pPr>
        <w:pStyle w:val="Normal"/>
        <w:tabs>
          <w:tab w:val="clear" w:pos="720"/>
          <w:tab w:val="left" w:pos="-720" w:leader="none"/>
        </w:tabs>
        <w:spacing w:lineRule="auto" w:line="240"/>
        <w:rPr/>
      </w:pPr>
      <w:r>
        <w:rPr/>
        <w:t>By not giving any credit for efficiency and little or no credit for pollution prevention, NSR drives projects away from these important attributes and back to the old sidetrack of add-on controls.  It discourages the application of existing P2 technologies and the development of new technologies.  U.S. companies have learned that they should not invest in the development or application of cleaner and higher efficiency technologies because they will not be able to permit them.  This is a multidimensional loss to the U.S. economy.  In contrast, our foreign competitors have made great strides in these areas, which are reflected in their high efficiency use of energy.</w:t>
      </w:r>
    </w:p>
    <w:p>
      <w:pPr>
        <w:pStyle w:val="Normal"/>
        <w:spacing w:lineRule="auto" w:line="240"/>
        <w:rPr/>
      </w:pPr>
      <w:r>
        <w:rPr/>
      </w:r>
    </w:p>
    <w:p>
      <w:pPr>
        <w:pStyle w:val="Normal"/>
        <w:spacing w:lineRule="auto" w:line="240"/>
        <w:rPr/>
      </w:pPr>
      <w:r>
        <w:rPr/>
        <w:t>The declining cap approach gives direct economic credit for all types of emission reduction technologies and gives complete freedom of choice to technology developers and end users to explore the best alternatives.  By encouraging a wider mix of options it allows the development of a greater portfolio of technology options for different fuels, technologies and applications.</w:t>
      </w:r>
    </w:p>
    <w:p>
      <w:pPr>
        <w:pStyle w:val="Normal"/>
        <w:spacing w:lineRule="auto" w:line="240"/>
        <w:rPr/>
      </w:pPr>
      <w:r>
        <w:rPr/>
      </w:r>
    </w:p>
    <w:p>
      <w:pPr>
        <w:pStyle w:val="Normal"/>
        <w:spacing w:lineRule="auto" w:line="240"/>
        <w:rPr/>
      </w:pPr>
      <w:r>
        <w:rPr/>
        <w:t>The gradual emission reduction is a critical factor in promoting new technology.  In an "all-at-once" reduction approach, most of the generating inventory needs to be retrofit at the same time.  Since no one can afford to take a chance on unproven technology at this scale of investment, everyone installs the current technology.  Since these are long-term investments, the technology is largely frozen at this level for the next 20 to 30 years.  When the requirement is phased in gradually, there is time for technology to improve as it is applied to a few plants each year.  More importantly, it gives the driver and the opportunity for new technologies to be gradually brought to the market.</w:t>
      </w:r>
    </w:p>
    <w:p>
      <w:pPr>
        <w:pStyle w:val="Normal"/>
        <w:spacing w:lineRule="auto" w:line="240"/>
        <w:rPr/>
      </w:pPr>
      <w:r>
        <w:rPr/>
      </w:r>
    </w:p>
    <w:p>
      <w:pPr>
        <w:pStyle w:val="Normal"/>
        <w:spacing w:lineRule="auto" w:line="240"/>
        <w:rPr/>
      </w:pPr>
      <w:r>
        <w:rPr/>
        <w:t>Mercury control is a good example.  The technology is currently at an early stage of development.  History has shown that industry is reluctant to make large investments in control technology ahead of a deadline.  Certainly there will be development and testing of technology.  But if we wait until 2008 and then require a large reduction, plants will largely have available a first generation technology. It will be expensive and will probably create a variety of operational problems.  Two or three years later, the technology will be much better, but reinstalling or replacing the initial installations will be cost-prohibitive in all but the most desperate cases.</w:t>
      </w:r>
    </w:p>
    <w:p>
      <w:pPr>
        <w:pStyle w:val="Normal"/>
        <w:spacing w:lineRule="auto" w:line="240"/>
        <w:rPr/>
      </w:pPr>
      <w:r>
        <w:rPr/>
      </w:r>
    </w:p>
    <w:p>
      <w:pPr>
        <w:pStyle w:val="Normal"/>
        <w:spacing w:lineRule="auto" w:line="240"/>
        <w:rPr/>
      </w:pPr>
      <w:r>
        <w:rPr/>
        <w:t>On the other hand, if the requirement is phased in gradually the outcome will be much different.  Much of the early reductions will be collateral to reduction of other pollutants.  However, there will be a driver for some plants to install and operate control technology sooner.  There will also be a stronger driver for equipment suppliers to develop and demonstrate their technologies.  By the time large numbers of plants need to be controlled, second or third generation technologies will be available to provide better control, more reliably and at lower cost.  Finally, the coordinated multipollutant approach will allow the use of multipollutant control technologies.  The result will be better control at lower cost for the majority of users.</w:t>
      </w:r>
    </w:p>
    <w:p>
      <w:pPr>
        <w:pStyle w:val="Normal"/>
        <w:spacing w:lineRule="auto" w:line="240"/>
        <w:rPr/>
      </w:pPr>
      <w:r>
        <w:rPr/>
      </w:r>
    </w:p>
    <w:p>
      <w:pPr>
        <w:pStyle w:val="EEAHead1"/>
        <w:tabs>
          <w:tab w:val="clear" w:pos="720"/>
        </w:tabs>
        <w:spacing w:lineRule="auto" w:line="240" w:before="0" w:after="0"/>
        <w:rPr>
          <w:caps w:val="false"/>
          <w:smallCaps w:val="false"/>
        </w:rPr>
      </w:pPr>
      <w:r>
        <w:rPr>
          <w:caps w:val="false"/>
          <w:smallCaps w:val="false"/>
        </w:rPr>
        <w:t>Doesn’t a declining cap provide less certainty than a fixed cap approach?</w:t>
      </w:r>
    </w:p>
    <w:p>
      <w:pPr>
        <w:pStyle w:val="Normal"/>
        <w:spacing w:lineRule="auto" w:line="240"/>
        <w:rPr/>
      </w:pPr>
      <w:r>
        <w:rPr/>
        <w:t>Although no regulation provides absolute certainty, the declining cap approach provides as much certainty as other proposals and in some important ways, provides more certainty.</w:t>
      </w:r>
    </w:p>
    <w:p>
      <w:pPr>
        <w:pStyle w:val="Normal"/>
        <w:spacing w:lineRule="auto" w:line="240"/>
        <w:rPr/>
      </w:pPr>
      <w:r>
        <w:rPr/>
      </w:r>
    </w:p>
    <w:p>
      <w:pPr>
        <w:pStyle w:val="Normal"/>
        <w:spacing w:lineRule="auto" w:line="240"/>
        <w:rPr/>
      </w:pPr>
      <w:r>
        <w:rPr/>
        <w:t>There are several levels of certainty.  One is the certainty that the rules will not change for some period of time.  Industry can never have perfect certainty on this front because future Congresses and Administrations can change law and policy.  The best that we can do is put in place a structure that is forward-looking and inherently adapts to future industry, energy market and environmental needs.  We know that fixed emission caps will need to be reviewed in the future because our experience is that there is always another reason to look for further environmental progress.  Therefore, fixed caps are at best an interim solution.  The declining cap approach is a self-adjusting approach that does not need external review and modification once it is in place.</w:t>
      </w:r>
    </w:p>
    <w:p>
      <w:pPr>
        <w:pStyle w:val="Normal"/>
        <w:spacing w:lineRule="auto" w:line="240"/>
        <w:rPr/>
      </w:pPr>
      <w:r>
        <w:rPr/>
      </w:r>
    </w:p>
    <w:p>
      <w:pPr>
        <w:pStyle w:val="Normal"/>
        <w:spacing w:lineRule="auto" w:line="240"/>
        <w:rPr/>
      </w:pPr>
      <w:r>
        <w:rPr/>
        <w:t>Similarly, market-based solutions that are skewed toward one technology or another due to current market expectations are guaranteed to be inappropriate in the future as energy markets change.  Market-based systems should treat all participants the same so that the industry can respond appropriately to the market signals.  This is the Clean Power Group Approach.</w:t>
      </w:r>
    </w:p>
    <w:p>
      <w:pPr>
        <w:pStyle w:val="Normal"/>
        <w:spacing w:lineRule="auto" w:line="240"/>
        <w:rPr/>
      </w:pPr>
      <w:r>
        <w:rPr/>
      </w:r>
    </w:p>
    <w:p>
      <w:pPr>
        <w:pStyle w:val="Normal"/>
        <w:spacing w:lineRule="auto" w:line="240"/>
        <w:rPr/>
      </w:pPr>
      <w:r>
        <w:rPr/>
        <w:t>Another type of uncertainty is the uncertainty caused by the existing NSR program.  Changing regulatory interpretations over time, variation in application of the program between states and regions, and the inherent uncertainty of a case-by-case system all create uncertainty in the development and operation of very capital-intensive assets.  Addressing this uncertainty requires broad, across the board reform of the NSR program and replacement of the system with a more flexible approach that provides equal or better environmental performance.  The Clean Power Group program is the only current approach to offer this benefit.</w:t>
      </w:r>
    </w:p>
    <w:p>
      <w:pPr>
        <w:pStyle w:val="Normal"/>
        <w:spacing w:lineRule="auto" w:line="240"/>
        <w:rPr/>
      </w:pPr>
      <w:r>
        <w:rPr/>
      </w:r>
    </w:p>
    <w:p>
      <w:pPr>
        <w:pStyle w:val="Normal"/>
        <w:spacing w:lineRule="auto" w:line="240"/>
        <w:rPr/>
      </w:pPr>
      <w:r>
        <w:rPr/>
        <w:t>The last type of uncertainty is compliance uncertainty within a cap and trade program.  In comparing a fixed cap to a declining cap, there is sometimes a misconception that a fixed cap sets a specific, fixed emission rate target for compliance.  This is not the case.  Although the cap is often based on an emission rate, such as 0.15 lb NO</w:t>
      </w:r>
      <w:r>
        <w:rPr>
          <w:vertAlign w:val="subscript"/>
        </w:rPr>
        <w:t>x</w:t>
      </w:r>
      <w:r>
        <w:rPr/>
        <w:t>/MMBtu for the SIP call NO</w:t>
      </w:r>
      <w:r>
        <w:rPr>
          <w:vertAlign w:val="subscript"/>
        </w:rPr>
        <w:t>x</w:t>
      </w:r>
      <w:r>
        <w:rPr/>
        <w:t xml:space="preserve"> cap, that rate is not an accurate compliance target for plants in the program.</w:t>
      </w:r>
    </w:p>
    <w:p>
      <w:pPr>
        <w:pStyle w:val="Normal"/>
        <w:spacing w:lineRule="auto" w:line="240"/>
        <w:rPr/>
      </w:pPr>
      <w:r>
        <w:rPr/>
      </w:r>
    </w:p>
    <w:p>
      <w:pPr>
        <w:pStyle w:val="Normal"/>
        <w:spacing w:lineRule="auto" w:line="240"/>
        <w:rPr/>
      </w:pPr>
      <w:r>
        <w:rPr/>
        <w:t xml:space="preserve">A cap and trade program sets a tonnage cap for the sector.  The total generating sector (not even by company) has to meet a level of performance which is that cap divided by the total generation.  However, we don't know the future total generation.  We can estimate the average compliance target by estimating total generation from affected sources in the first compliance year and dividing that into the cap to find the average emission rate.  One can probably estimate that well enough to get a reasonable idea of  the initial emission rate.  However, that rate is typically not the nominal rate (like 0.15 lb/MMBtu) and will change over time as the total generation increases.  </w:t>
      </w:r>
    </w:p>
    <w:p>
      <w:pPr>
        <w:pStyle w:val="Normal"/>
        <w:spacing w:lineRule="auto" w:line="240"/>
        <w:rPr/>
      </w:pPr>
      <w:r>
        <w:rPr/>
      </w:r>
    </w:p>
    <w:p>
      <w:pPr>
        <w:pStyle w:val="Normal"/>
        <w:spacing w:lineRule="auto" w:line="240"/>
        <w:rPr/>
      </w:pPr>
      <w:r>
        <w:rPr/>
        <w:t>In addition, the current trading programs have updating allocation rather than the permanent allocation of the acid rain program.  This means that the allocations to each unit or company will be changing each year depending on their operation.  Thus the nominal compliance level is a changing, moving target even under fixed cap programs.</w:t>
      </w:r>
    </w:p>
    <w:p>
      <w:pPr>
        <w:pStyle w:val="Normal"/>
        <w:spacing w:lineRule="auto" w:line="240"/>
        <w:rPr/>
      </w:pPr>
      <w:r>
        <w:rPr/>
      </w:r>
    </w:p>
    <w:p>
      <w:pPr>
        <w:pStyle w:val="Normal"/>
        <w:spacing w:lineRule="auto" w:line="240"/>
        <w:rPr/>
      </w:pPr>
      <w:r>
        <w:rPr/>
        <w:t>In some ways, a cap and trade program provides much less certainty than a command and control program that simply tells operators exactly what they have to do.  The advantage of the cap and trade program is that it offers companies the option of doing either more or less than the average compliance requirement, not only at each unit but as a company overall.  So it might be that for some period of time a company’s best option is to be a net buyer of allowances or purchaser of allowances.  No company or unit necessarily has to meet any specific limit as long as the overall system meets the cap.  This is perhaps the most important industry benefit of a cap and trade approach because of the technology and timing flexibility that it offers in asset management and investment decisions.</w:t>
      </w:r>
    </w:p>
    <w:p>
      <w:pPr>
        <w:pStyle w:val="Normal"/>
        <w:spacing w:lineRule="auto" w:line="240"/>
        <w:rPr/>
      </w:pPr>
      <w:r>
        <w:rPr/>
      </w:r>
    </w:p>
    <w:p>
      <w:pPr>
        <w:pStyle w:val="Normal"/>
        <w:spacing w:lineRule="auto" w:line="240"/>
        <w:rPr/>
      </w:pPr>
      <w:r>
        <w:rPr/>
        <w:t xml:space="preserve">This also creates one of the key benefits of the declining cap.  Under a fixed cap with a single implementation year, almost all of the investment decisions must be made and implemented prior to the compliance deadline.  This means that there are a limited number of available technology options and there is a constraint on availability of equipment and installation services.  The experience has also been that the installations are compressed into a small time window that creates high penalties for unforeseen delay.  </w:t>
      </w:r>
    </w:p>
    <w:p>
      <w:pPr>
        <w:pStyle w:val="Normal"/>
        <w:spacing w:lineRule="auto" w:line="240"/>
        <w:rPr/>
      </w:pPr>
      <w:r>
        <w:rPr/>
      </w:r>
    </w:p>
    <w:p>
      <w:pPr>
        <w:pStyle w:val="Normal"/>
        <w:spacing w:lineRule="auto" w:line="240"/>
        <w:rPr/>
      </w:pPr>
      <w:r>
        <w:rPr/>
        <w:t xml:space="preserve">Most important however, the compliance investment decisions must be made with very limited knowledge of the post-implementation market conditions.  It is very difficult to know what other companies are doing, how many allowances will be available and what they will be worth.  The availability and value of allowances is a key factor in a rational compliance decision.  If a company had a good idea that allowances would be available at a certain price in the future, it would have a better idea whether, when and where control technologies should be applied to its facilities.  The single year application of a fixed cap deprives industry of that knowledge.  </w:t>
      </w:r>
    </w:p>
    <w:p>
      <w:pPr>
        <w:pStyle w:val="Normal"/>
        <w:spacing w:lineRule="auto" w:line="240"/>
        <w:rPr/>
      </w:pPr>
      <w:r>
        <w:rPr/>
      </w:r>
    </w:p>
    <w:p>
      <w:pPr>
        <w:pStyle w:val="Normal"/>
        <w:spacing w:lineRule="auto" w:line="240"/>
        <w:rPr/>
      </w:pPr>
      <w:r>
        <w:rPr/>
        <w:t>The current situation with the SIP call is a good example.  It is very difficult for industry to know what the price and availability of NO</w:t>
      </w:r>
      <w:r>
        <w:rPr>
          <w:vertAlign w:val="subscript"/>
        </w:rPr>
        <w:t>x</w:t>
      </w:r>
      <w:r>
        <w:rPr/>
        <w:t xml:space="preserve"> allowances will be in 2004 so it is difficult to rationally plan for compliance.  The current regulatory uncertainty adds to that problem.</w:t>
      </w:r>
    </w:p>
    <w:p>
      <w:pPr>
        <w:pStyle w:val="Normal"/>
        <w:spacing w:lineRule="auto" w:line="240"/>
        <w:rPr/>
      </w:pPr>
      <w:r>
        <w:rPr/>
      </w:r>
    </w:p>
    <w:p>
      <w:pPr>
        <w:pStyle w:val="Normal"/>
        <w:spacing w:lineRule="auto" w:line="240"/>
        <w:rPr/>
      </w:pPr>
      <w:r>
        <w:rPr/>
        <w:t xml:space="preserve">In the declining cap case, the requirement is phased in gradually so that the price signals can be established </w:t>
      </w:r>
      <w:r>
        <w:rPr>
          <w:u w:val="single"/>
        </w:rPr>
        <w:t>before</w:t>
      </w:r>
      <w:r>
        <w:rPr/>
        <w:t xml:space="preserve"> the bulk of the investments need to be made.  Only small reductions are required in the first year and much of that will be “low-hanging fruit” that can be achieved with minimal investment.  However, the trading markets will be established and accurate price signals will be available to allow informed planning decisions.  Companies will be able to spread compliance over a longer period and make each investment commitment as it is needed and measure the market response.  Companies will therefore have </w:t>
      </w:r>
      <w:r>
        <w:rPr>
          <w:u w:val="single"/>
        </w:rPr>
        <w:t>greater</w:t>
      </w:r>
      <w:r>
        <w:rPr/>
        <w:t xml:space="preserve"> certainty as to what their options will be and how much they will cost under the declining cap approach.</w:t>
      </w:r>
    </w:p>
    <w:p>
      <w:pPr>
        <w:pStyle w:val="Normal"/>
        <w:spacing w:lineRule="auto" w:line="240"/>
        <w:rPr/>
      </w:pPr>
      <w:r>
        <w:rPr/>
      </w:r>
    </w:p>
    <w:p>
      <w:pPr>
        <w:pStyle w:val="Normal"/>
        <w:spacing w:lineRule="auto" w:line="240"/>
        <w:rPr>
          <w:b/>
        </w:rPr>
      </w:pPr>
      <w:r>
        <w:rPr>
          <w:b/>
        </w:rPr>
        <w:t>Is this plan designed to promote the use of gas at the expense of coal?</w:t>
      </w:r>
    </w:p>
    <w:p>
      <w:pPr>
        <w:pStyle w:val="Normal"/>
        <w:spacing w:lineRule="auto" w:line="240"/>
        <w:rPr/>
      </w:pPr>
      <w:r>
        <w:rPr/>
        <w:t>On the contrary, the program is designed to treat all fuels and all technologies equally.  Coal is the U.S.' most abundant energy resource and we expect it to be a major fuel for power generation for many years.  That said:</w:t>
      </w:r>
    </w:p>
    <w:p>
      <w:pPr>
        <w:pStyle w:val="Bullet1"/>
        <w:numPr>
          <w:ilvl w:val="0"/>
          <w:numId w:val="1"/>
        </w:numPr>
        <w:rPr/>
      </w:pPr>
      <w:r>
        <w:rPr/>
        <w:t>Coal power plant technology has been basically stagnant for the last 40 years.</w:t>
      </w:r>
    </w:p>
    <w:p>
      <w:pPr>
        <w:pStyle w:val="Bullet1"/>
        <w:numPr>
          <w:ilvl w:val="0"/>
          <w:numId w:val="1"/>
        </w:numPr>
        <w:rPr/>
      </w:pPr>
      <w:r>
        <w:rPr/>
        <w:t>New coal technologies though much more efficient and many times cleaner are still subject to very high environmental permitting hurdles.</w:t>
      </w:r>
    </w:p>
    <w:p>
      <w:pPr>
        <w:pStyle w:val="Bullet1"/>
        <w:numPr>
          <w:ilvl w:val="0"/>
          <w:numId w:val="1"/>
        </w:numPr>
        <w:rPr/>
      </w:pPr>
      <w:r>
        <w:rPr/>
        <w:t>Existing coal power plants cannot be upgraded without being subject to complex, prescriptive and very expensive control requirements or lawsuits.</w:t>
      </w:r>
    </w:p>
    <w:p>
      <w:pPr>
        <w:pStyle w:val="Bullet1"/>
        <w:numPr>
          <w:ilvl w:val="0"/>
          <w:numId w:val="1"/>
        </w:numPr>
        <w:rPr/>
      </w:pPr>
      <w:r>
        <w:rPr/>
        <w:t>New coal plants are competitively disadvantaged in emission trading programs that provide little or no allowance allocations to new plants.</w:t>
      </w:r>
    </w:p>
    <w:p>
      <w:pPr>
        <w:pStyle w:val="Normal"/>
        <w:spacing w:lineRule="auto" w:line="240"/>
        <w:rPr/>
      </w:pPr>
      <w:r>
        <w:rPr/>
        <w:t>New coal technology needs to be brought into the market.  New coal plants need to be treated equitably in emission trading programs.  Coal plants need the flexibility to be upgraded and make cost-effective efficiency improvements and emission reductions.  The Clean Power Group approach promotes all of these outcomes.  Coal-based power generation is very competitive.  It has nothing to fear in a program that removes barriers, promotes new technology and treats all fuels and technologies equally.</w:t>
      </w:r>
    </w:p>
    <w:p>
      <w:pPr>
        <w:pStyle w:val="Normal"/>
        <w:spacing w:lineRule="auto" w:line="240"/>
        <w:rPr/>
      </w:pPr>
      <w:r>
        <w:rPr/>
      </w:r>
    </w:p>
    <w:p>
      <w:pPr>
        <w:pStyle w:val="Normal"/>
        <w:spacing w:lineRule="auto" w:line="240"/>
        <w:rPr/>
      </w:pPr>
      <w:r>
        <w:rPr/>
        <w:t>The Clean power Group is:</w:t>
      </w:r>
    </w:p>
    <w:p>
      <w:pPr>
        <w:sectPr>
          <w:type w:val="nextPage"/>
          <w:pgSz w:w="12240" w:h="15840"/>
          <w:pgMar w:left="1440" w:right="1440" w:gutter="0" w:header="0" w:top="2160" w:footer="0" w:bottom="1440"/>
          <w:pgNumType w:fmt="decimal"/>
          <w:formProt w:val="false"/>
          <w:textDirection w:val="lrTb"/>
          <w:docGrid w:type="default" w:linePitch="360" w:charSpace="0"/>
        </w:sectPr>
      </w:pPr>
    </w:p>
    <w:p>
      <w:pPr>
        <w:pStyle w:val="Bullet1"/>
        <w:numPr>
          <w:ilvl w:val="0"/>
          <w:numId w:val="3"/>
        </w:numPr>
        <w:rPr/>
      </w:pPr>
      <w:r>
        <w:rPr/>
        <w:t>Calpine</w:t>
      </w:r>
    </w:p>
    <w:p>
      <w:pPr>
        <w:pStyle w:val="Bullet1"/>
        <w:numPr>
          <w:ilvl w:val="0"/>
          <w:numId w:val="3"/>
        </w:numPr>
        <w:rPr/>
      </w:pPr>
      <w:r>
        <w:rPr/>
        <w:t>El Paso</w:t>
      </w:r>
    </w:p>
    <w:p>
      <w:pPr>
        <w:pStyle w:val="Bullet1"/>
        <w:numPr>
          <w:ilvl w:val="0"/>
          <w:numId w:val="3"/>
        </w:numPr>
        <w:rPr/>
      </w:pPr>
      <w:r>
        <w:rPr/>
        <w:t>Enron</w:t>
      </w:r>
    </w:p>
    <w:p>
      <w:pPr>
        <w:pStyle w:val="Bullet1"/>
        <w:numPr>
          <w:ilvl w:val="0"/>
          <w:numId w:val="3"/>
        </w:numPr>
        <w:rPr/>
      </w:pPr>
      <w:r>
        <w:rPr/>
        <w:t>Nisource</w:t>
      </w:r>
    </w:p>
    <w:p>
      <w:pPr>
        <w:pStyle w:val="Bullet1"/>
        <w:numPr>
          <w:ilvl w:val="0"/>
          <w:numId w:val="3"/>
        </w:numPr>
        <w:rPr/>
      </w:pPr>
      <w:r>
        <w:rPr/>
        <w:t>Trigen</w:t>
      </w:r>
    </w:p>
    <w:p>
      <w:pPr>
        <w:sectPr>
          <w:type w:val="continuous"/>
          <w:pgSz w:w="12240" w:h="15840"/>
          <w:pgMar w:left="1440" w:right="1440" w:gutter="0" w:header="0" w:top="2160" w:footer="0" w:bottom="1440"/>
          <w:cols w:num="3" w:space="708" w:equalWidth="true" w:sep="false"/>
          <w:formProt w:val="false"/>
          <w:textDirection w:val="lrTb"/>
          <w:docGrid w:type="default" w:linePitch="360" w:charSpace="0"/>
        </w:sectPr>
      </w:pPr>
    </w:p>
    <w:p>
      <w:pPr>
        <w:pStyle w:val="Normal"/>
        <w:spacing w:lineRule="auto" w:line="240"/>
        <w:rPr/>
      </w:pPr>
      <w:r>
        <w:rPr/>
      </w:r>
    </w:p>
    <w:sectPr>
      <w:type w:val="continuous"/>
      <w:pgSz w:w="12240" w:h="15840"/>
      <w:pgMar w:left="1440" w:right="1440" w:gutter="0" w:header="0" w:top="216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color w:val="auto"/>
      </w:rPr>
    </w:lvl>
  </w:abstractNum>
  <w:abstractNum w:abstractNumId="2">
    <w:lvl w:ilvl="0">
      <w:start w:val="1"/>
      <w:numFmt w:val="bullet"/>
      <w:lvlText w:val=""/>
      <w:lvlJc w:val="start"/>
      <w:pPr>
        <w:tabs>
          <w:tab w:val="num" w:pos="0"/>
        </w:tabs>
        <w:ind w:start="720" w:hanging="360"/>
      </w:pPr>
      <w:rPr>
        <w:rFonts w:ascii="Symbol" w:hAnsi="Symbol" w:cs="Symbol" w:hint="default"/>
        <w:color w:val="auto"/>
      </w:rPr>
    </w:lvl>
  </w:abstractNum>
  <w:abstractNum w:abstractNumId="3">
    <w:lvl w:ilvl="0">
      <w:start w:val="1"/>
      <w:numFmt w:val="bullet"/>
      <w:lvlText w:val=""/>
      <w:lvlJc w:val="start"/>
      <w:pPr>
        <w:tabs>
          <w:tab w:val="num" w:pos="0"/>
        </w:tabs>
        <w:ind w:start="720" w:hanging="360"/>
      </w:pPr>
      <w:rPr>
        <w:rFonts w:ascii="Symbol" w:hAnsi="Symbol" w:cs="Symbol" w:hint="default"/>
      </w:rPr>
    </w:lvl>
  </w:abstractNum>
  <w:abstractNum w:abstractNumId="4">
    <w:lvl w:ilvl="0">
      <w:start w:val="1"/>
      <w:numFmt w:val="bullet"/>
      <w:lvlText w:val=""/>
      <w:lvlJc w:val="start"/>
      <w:pPr>
        <w:tabs>
          <w:tab w:val="num" w:pos="0"/>
        </w:tabs>
        <w:ind w:start="720" w:hanging="360"/>
      </w:pPr>
      <w:rPr>
        <w:rFonts w:ascii="Symbol" w:hAnsi="Symbol" w:cs="Symbol" w:hint="default"/>
        <w:color w:val="auto"/>
      </w:rPr>
    </w:lvl>
  </w:abstractNum>
  <w:abstractNum w:abstractNumId="5">
    <w:lvl w:ilvl="0">
      <w:start w:val="1"/>
      <w:numFmt w:val="bullet"/>
      <w:lvlText w:val=""/>
      <w:lvlJc w:val="start"/>
      <w:pPr>
        <w:tabs>
          <w:tab w:val="num" w:pos="0"/>
        </w:tabs>
        <w:ind w:start="720" w:hanging="360"/>
      </w:pPr>
      <w:rPr>
        <w:rFonts w:ascii="Symbol" w:hAnsi="Symbol" w:cs="Symbol" w:hint="default"/>
        <w:color w:val="auto"/>
      </w:rPr>
    </w:lvl>
  </w:abstractNum>
  <w:abstractNum w:abstractNumId="6">
    <w:lvl w:ilvl="0">
      <w:numFmt w:val="bullet"/>
      <w:lvlText w:val="—"/>
      <w:lvlJc w:val="start"/>
      <w:pPr>
        <w:tabs>
          <w:tab w:val="num" w:pos="360"/>
        </w:tabs>
        <w:ind w:start="1080" w:hanging="360"/>
      </w:pPr>
      <w:rPr>
        <w:rFonts w:ascii="Times New Roman" w:hAnsi="Times New Roman" w:cs="Times New Roman"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St1z0">
    <w:name w:val="WW8NumSt1z0"/>
    <w:qFormat/>
    <w:rPr>
      <w:rFonts w:ascii="Courier New" w:hAnsi="Courier New" w:cs="Courier New"/>
    </w:rPr>
  </w:style>
  <w:style w:type="character" w:styleId="WW8NumSt2z0">
    <w:name w:val="WW8NumSt2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spacing w:lineRule="auto" w:line="240"/>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7"/>
      </w:numPr>
      <w:spacing w:lineRule="auto" w:line="240" w:before="0" w:after="120"/>
      <w:ind w:hanging="360" w:start="720" w:end="0"/>
    </w:pPr>
    <w:rPr/>
  </w:style>
  <w:style w:type="paragraph" w:styleId="Bullet2">
    <w:name w:val="Bullet #2"/>
    <w:basedOn w:val="Bullet1"/>
    <w:qFormat/>
    <w:pPr>
      <w:numPr>
        <w:ilvl w:val="0"/>
        <w:numId w:val="8"/>
      </w:numPr>
      <w:ind w:hanging="360" w:start="1080" w:end="0"/>
    </w:pPr>
    <w:rPr/>
  </w:style>
  <w:style w:type="paragraph" w:styleId="Bullet3">
    <w:name w:val="Bullet #3"/>
    <w:basedOn w:val="Bullet2"/>
    <w:qFormat/>
    <w:pPr>
      <w:numPr>
        <w:ilvl w:val="0"/>
        <w:numId w:val="9"/>
      </w:numPr>
      <w:ind w:hanging="360" w:start="1440" w:end="0"/>
    </w:pPr>
    <w:rPr/>
  </w:style>
  <w:style w:type="paragraph" w:styleId="EEAHead1">
    <w:name w:val="EEAHead1"/>
    <w:basedOn w:val="Normal"/>
    <w:qFormat/>
    <w:pPr>
      <w:tabs>
        <w:tab w:val="left" w:pos="720" w:leader="none"/>
      </w:tabs>
      <w:spacing w:before="0" w:after="120"/>
    </w:pPr>
    <w:rPr>
      <w:b/>
      <w:caps/>
    </w:rPr>
  </w:style>
  <w:style w:type="paragraph" w:styleId="EEAHead2">
    <w:name w:val="EEAHead2"/>
    <w:basedOn w:val="EEAHead1"/>
    <w:qFormat/>
    <w:pPr/>
    <w:rPr>
      <w:caps w:val="false"/>
      <w:smallCaps w:val="false"/>
    </w:rPr>
  </w:style>
  <w:style w:type="paragraph" w:styleId="Subtitle">
    <w:name w:val="Subtitle"/>
    <w:basedOn w:val="Normal"/>
    <w:next w:val="BodyText"/>
    <w:qFormat/>
    <w:pPr>
      <w:spacing w:lineRule="auto" w:line="240"/>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EEAOPEN1</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2001-07-20T09:52:00Z</dcterms:created>
  <dc:creator>Joel Bluestein</dc:creator>
  <dc:description/>
  <dc:language>en-CA</dc:language>
  <cp:lastModifiedBy>jkeeler</cp:lastModifiedBy>
  <cp:lastPrinted>2001-07-24T08:20:00Z</cp:lastPrinted>
  <dcterms:modified xsi:type="dcterms:W3CDTF">2001-08-09T14:54:00Z</dcterms:modified>
  <cp:revision>25</cp:revision>
  <dc:subject/>
  <dc:title>Clean Power Group</dc:title>
</cp:coreProperties>
</file>