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The Clean Power Group</w:t>
      </w:r>
    </w:p>
    <w:p>
      <w:pPr>
        <w:pStyle w:val="Normal"/>
        <w:tabs>
          <w:tab w:val="clear" w:pos="720"/>
          <w:tab w:val="left" w:pos="-720" w:leader="none"/>
        </w:tabs>
        <w:jc w:val="center"/>
        <w:rPr>
          <w:b/>
          <w:sz w:val="32"/>
        </w:rPr>
      </w:pPr>
      <w:r>
        <w:rPr>
          <w:b/>
          <w:sz w:val="32"/>
        </w:rPr>
        <w:t>Discussion of Declining Caps</w:t>
      </w:r>
    </w:p>
    <w:p>
      <w:pPr>
        <w:pStyle w:val="Normal"/>
        <w:tabs>
          <w:tab w:val="clear" w:pos="720"/>
          <w:tab w:val="left" w:pos="-720" w:leader="none"/>
        </w:tabs>
        <w:rPr>
          <w:b/>
          <w:sz w:val="32"/>
        </w:rPr>
      </w:pPr>
      <w:r>
        <w:rPr>
          <w:b/>
          <w:sz w:val="32"/>
        </w:rPr>
      </w:r>
    </w:p>
    <w:p>
      <w:pPr>
        <w:pStyle w:val="Normal"/>
        <w:tabs>
          <w:tab w:val="clear" w:pos="720"/>
          <w:tab w:val="left" w:pos="-720" w:leader="none"/>
        </w:tabs>
        <w:rPr/>
      </w:pPr>
      <w:r>
        <w:rPr/>
      </w:r>
    </w:p>
    <w:p>
      <w:pPr>
        <w:pStyle w:val="Normal"/>
        <w:rPr/>
      </w:pPr>
      <w:r>
        <w:rPr/>
        <w:t>The Clean Power Group has proposed a multipollutant approach to regulation of emissions from the power generation sector.  The plan uses declining caps on NO</w:t>
      </w:r>
      <w:r>
        <w:rPr>
          <w:vertAlign w:val="subscript"/>
        </w:rPr>
        <w:t>x</w:t>
      </w:r>
      <w:r>
        <w:rPr/>
        <w:t>, SO</w:t>
      </w:r>
      <w:r>
        <w:rPr>
          <w:vertAlign w:val="subscript"/>
        </w:rPr>
        <w:t>2</w:t>
      </w:r>
      <w:r>
        <w:rPr/>
        <w:t>, mercury and potentially CO</w:t>
      </w:r>
      <w:r>
        <w:rPr>
          <w:vertAlign w:val="subscript"/>
        </w:rPr>
        <w:t>2</w:t>
      </w:r>
      <w:r>
        <w:rPr/>
        <w:t xml:space="preserve"> to reduce these emissions over time.  A "circuit breaker" keyed to the cost of allowances for each pollutant is used, if necessary, to prevent economic disruption and slow the pace of the decline to allow technology and markets to provide efficient, cost-effective control options.  The plan affects all power generators greater than 10 MW including renewables and also gives direct credit to end use efficiency (conservation).  Smaller generators can opt in to the program.  Allowances for each pollutant are allocated annually based on the generation from each plant.  The plan replaces the NSR BACT/LAER and offsets provisions for affected plants.  It would also replace the acid rain, regional haze, regional NO</w:t>
      </w:r>
      <w:r>
        <w:rPr>
          <w:vertAlign w:val="subscript"/>
        </w:rPr>
        <w:t>x</w:t>
      </w:r>
      <w:r>
        <w:rPr/>
        <w:t>, and mercury MACT programs currently targeting these pollutants.  NSPS and local NAAQS impacts requirements would still apply.</w:t>
      </w:r>
    </w:p>
    <w:p>
      <w:pPr>
        <w:pStyle w:val="Normal"/>
        <w:tabs>
          <w:tab w:val="clear" w:pos="720"/>
          <w:tab w:val="left" w:pos="-720" w:leader="none"/>
        </w:tabs>
        <w:rPr/>
      </w:pPr>
      <w:r>
        <w:rPr/>
      </w:r>
    </w:p>
    <w:p>
      <w:pPr>
        <w:pStyle w:val="Normal"/>
        <w:tabs>
          <w:tab w:val="clear" w:pos="720"/>
          <w:tab w:val="left" w:pos="-720" w:leader="none"/>
        </w:tabs>
        <w:rPr/>
      </w:pPr>
      <w:r>
        <w:rPr/>
        <w:t>The Clean Power Group approach provides earlier emission reductions than other plans and greater emission reductions, initially and over time, even without new source review.  At the same time, it does a better job of encouraging efficiency, pollution prevention and implementation of new generating technology that will provide an ample supply of affordable electricity as well as a cleaner environment.</w:t>
      </w:r>
    </w:p>
    <w:p>
      <w:pPr>
        <w:pStyle w:val="Normal"/>
        <w:tabs>
          <w:tab w:val="clear" w:pos="720"/>
          <w:tab w:val="left" w:pos="-720" w:leader="none"/>
        </w:tabs>
        <w:rPr/>
      </w:pPr>
      <w:r>
        <w:rPr/>
      </w:r>
    </w:p>
    <w:p>
      <w:pPr>
        <w:pStyle w:val="Normal"/>
        <w:tabs>
          <w:tab w:val="clear" w:pos="720"/>
          <w:tab w:val="left" w:pos="-720" w:leader="none"/>
        </w:tabs>
        <w:rPr/>
      </w:pPr>
      <w:r>
        <w:rPr/>
        <w:t>This paper defines the glideslopes of the declining caps and compares them to some of the multipollutant alternatives that are currently circulating.  This discussion starts with the current regulatory outlook, looks at several alternative proposals and then the CPG approach.</w:t>
      </w:r>
    </w:p>
    <w:p>
      <w:pPr>
        <w:pStyle w:val="Normal"/>
        <w:tabs>
          <w:tab w:val="clear" w:pos="720"/>
          <w:tab w:val="left" w:pos="-720" w:leader="none"/>
        </w:tabs>
        <w:rPr/>
      </w:pPr>
      <w:r>
        <w:rPr/>
      </w:r>
    </w:p>
    <w:p>
      <w:pPr>
        <w:pStyle w:val="EEAHead1"/>
        <w:tabs>
          <w:tab w:val="clear" w:pos="720"/>
          <w:tab w:val="left" w:pos="-720" w:leader="none"/>
        </w:tabs>
        <w:spacing w:before="0" w:after="0"/>
        <w:rPr>
          <w:caps w:val="false"/>
          <w:smallCaps w:val="false"/>
        </w:rPr>
      </w:pPr>
      <w:r>
        <w:rPr>
          <w:caps w:val="false"/>
          <w:smallCaps w:val="false"/>
        </w:rPr>
        <w:t>Current Emissions</w:t>
      </w:r>
    </w:p>
    <w:p>
      <w:pPr>
        <w:pStyle w:val="Normal"/>
        <w:tabs>
          <w:tab w:val="clear" w:pos="720"/>
          <w:tab w:val="left" w:pos="-720" w:leader="none"/>
        </w:tabs>
        <w:rPr/>
      </w:pPr>
      <w:r>
        <w:rPr/>
        <w:t>As background, it is important to look at emissions from the power generation sector today.  In 2000, the emissions from power generators regulated under the acid rain program were approximately:</w:t>
      </w:r>
    </w:p>
    <w:p>
      <w:pPr>
        <w:pStyle w:val="Bullet1"/>
        <w:numPr>
          <w:ilvl w:val="0"/>
          <w:numId w:val="2"/>
        </w:numPr>
        <w:rPr/>
      </w:pPr>
      <w:r>
        <w:rPr/>
        <w:t>11.2 MMtons of SO</w:t>
      </w:r>
      <w:r>
        <w:rPr>
          <w:vertAlign w:val="subscript"/>
        </w:rPr>
        <w:t>2</w:t>
      </w:r>
      <w:r>
        <w:rPr>
          <w:rStyle w:val="FootnoteCharacters"/>
          <w:rStyle w:val="FootnoteReference"/>
        </w:rPr>
        <w:footnoteReference w:id="2"/>
      </w:r>
    </w:p>
    <w:p>
      <w:pPr>
        <w:pStyle w:val="Bullet1"/>
        <w:numPr>
          <w:ilvl w:val="0"/>
          <w:numId w:val="2"/>
        </w:numPr>
        <w:rPr/>
      </w:pPr>
      <w:r>
        <w:rPr/>
        <w:t>5 MMtons of NO</w:t>
      </w:r>
      <w:r>
        <w:rPr>
          <w:vertAlign w:val="subscript"/>
        </w:rPr>
        <w:t>x</w:t>
      </w:r>
    </w:p>
    <w:p>
      <w:pPr>
        <w:pStyle w:val="Bullet1"/>
        <w:numPr>
          <w:ilvl w:val="0"/>
          <w:numId w:val="2"/>
        </w:numPr>
        <w:rPr/>
      </w:pPr>
      <w:r>
        <w:rPr/>
        <w:t>43 tons of mercury</w:t>
      </w:r>
    </w:p>
    <w:p>
      <w:pPr>
        <w:pStyle w:val="Bullet1"/>
        <w:numPr>
          <w:ilvl w:val="0"/>
          <w:numId w:val="2"/>
        </w:numPr>
        <w:rPr/>
      </w:pPr>
      <w:r>
        <w:rPr/>
        <w:t>2,453 MMtons of CO</w:t>
      </w:r>
      <w:r>
        <w:rPr>
          <w:vertAlign w:val="subscript"/>
        </w:rPr>
        <w:t>2</w:t>
      </w:r>
    </w:p>
    <w:p>
      <w:pPr>
        <w:pStyle w:val="Normal"/>
        <w:tabs>
          <w:tab w:val="clear" w:pos="720"/>
          <w:tab w:val="left" w:pos="-720" w:leader="none"/>
        </w:tabs>
        <w:rPr/>
      </w:pPr>
      <w:r>
        <w:rPr/>
        <w:t>Also for background, the 1990 emissions of CO</w:t>
      </w:r>
      <w:r>
        <w:rPr>
          <w:vertAlign w:val="subscript"/>
        </w:rPr>
        <w:t>2</w:t>
      </w:r>
      <w:r>
        <w:rPr/>
        <w:t xml:space="preserve"> were 1944 MMTons.  The Kyoto target of 7 percent below 1990 would be about 1800 MMtons.  </w:t>
      </w:r>
    </w:p>
    <w:p>
      <w:pPr>
        <w:pStyle w:val="Normal"/>
        <w:tabs>
          <w:tab w:val="clear" w:pos="720"/>
          <w:tab w:val="left" w:pos="-720" w:leader="none"/>
        </w:tabs>
        <w:rPr/>
      </w:pPr>
      <w:r>
        <w:rPr/>
      </w:r>
    </w:p>
    <w:p>
      <w:pPr>
        <w:pStyle w:val="Normal"/>
        <w:tabs>
          <w:tab w:val="clear" w:pos="720"/>
          <w:tab w:val="left" w:pos="-720" w:leader="none"/>
        </w:tabs>
        <w:rPr/>
      </w:pPr>
      <w:r>
        <w:rPr/>
        <w:t>The CPG plan would include some non-utility generators that are not currently included in these Title IV measurements.  According to EPA estimates (EGRID), these additional sources emitted approximately an additional half million tons of SO</w:t>
      </w:r>
      <w:r>
        <w:rPr>
          <w:vertAlign w:val="subscript"/>
        </w:rPr>
        <w:t>2</w:t>
      </w:r>
      <w:r>
        <w:rPr/>
        <w:t xml:space="preserve"> and NO</w:t>
      </w:r>
      <w:r>
        <w:rPr>
          <w:vertAlign w:val="subscript"/>
        </w:rPr>
        <w:t>x</w:t>
      </w:r>
      <w:r>
        <w:rPr/>
        <w:t xml:space="preserve"> and 186,000 tons of CO</w:t>
      </w:r>
      <w:r>
        <w:rPr>
          <w:vertAlign w:val="subscript"/>
        </w:rPr>
        <w:t>2</w:t>
      </w:r>
      <w:r>
        <w:rPr/>
        <w:t>.  Bringing these sources into the cap and reducing their emissions over time is an additional benefit of the CPG plan compared to the alternatives.</w:t>
      </w:r>
    </w:p>
    <w:p>
      <w:pPr>
        <w:pStyle w:val="Normal"/>
        <w:tabs>
          <w:tab w:val="clear" w:pos="720"/>
          <w:tab w:val="left" w:pos="-720" w:leader="none"/>
        </w:tabs>
        <w:rPr/>
      </w:pPr>
      <w:r>
        <w:rPr/>
      </w:r>
    </w:p>
    <w:p>
      <w:pPr>
        <w:pStyle w:val="EEAHead1"/>
        <w:tabs>
          <w:tab w:val="clear" w:pos="720"/>
          <w:tab w:val="left" w:pos="-720" w:leader="none"/>
        </w:tabs>
        <w:spacing w:before="0" w:after="0"/>
        <w:rPr>
          <w:caps w:val="false"/>
          <w:smallCaps w:val="false"/>
        </w:rPr>
      </w:pPr>
      <w:r>
        <w:rPr>
          <w:caps w:val="false"/>
          <w:smallCaps w:val="false"/>
        </w:rPr>
        <w:t>Regulatory Outlook</w:t>
      </w:r>
    </w:p>
    <w:p>
      <w:pPr>
        <w:pStyle w:val="Normal"/>
        <w:tabs>
          <w:tab w:val="clear" w:pos="720"/>
          <w:tab w:val="left" w:pos="-720" w:leader="none"/>
        </w:tabs>
        <w:rPr/>
      </w:pPr>
      <w:r>
        <w:rPr/>
        <w:t>To set the context, it’s useful to look at what happens if "nothing" happens.  That is, what will generators have to face if no multipollutant legislation is passed.  Current expectations can summarized as:</w:t>
      </w:r>
    </w:p>
    <w:p>
      <w:pPr>
        <w:pStyle w:val="Bullet1"/>
        <w:numPr>
          <w:ilvl w:val="0"/>
          <w:numId w:val="2"/>
        </w:numPr>
        <w:rPr/>
      </w:pPr>
      <w:r>
        <w:rPr/>
        <w:t>SO</w:t>
      </w:r>
      <w:r>
        <w:rPr>
          <w:vertAlign w:val="subscript"/>
        </w:rPr>
        <w:t>2</w:t>
      </w:r>
      <w:r>
        <w:rPr/>
        <w:t xml:space="preserve"> - The EPA has been saying for many years that they expect to call for a 50 percent reduction in SO</w:t>
      </w:r>
      <w:r>
        <w:rPr>
          <w:vertAlign w:val="subscript"/>
        </w:rPr>
        <w:t>2</w:t>
      </w:r>
      <w:r>
        <w:rPr/>
        <w:t xml:space="preserve"> emissions in order to address the PM</w:t>
      </w:r>
      <w:r>
        <w:rPr>
          <w:vertAlign w:val="subscript"/>
        </w:rPr>
        <w:t>2.5</w:t>
      </w:r>
      <w:r>
        <w:rPr/>
        <w:t xml:space="preserve"> ultra-fine particulate standard.  This likely would happen by reducing the acid rain tonnage cap to 4.5 MMtons around 2008.  The PM</w:t>
      </w:r>
      <w:r>
        <w:rPr>
          <w:vertAlign w:val="subscript"/>
        </w:rPr>
        <w:t>2.5</w:t>
      </w:r>
      <w:r>
        <w:rPr/>
        <w:t xml:space="preserve"> standard has now been upheld by the Supreme Court so that outcome seems likely.  The regional haze rule will also require SO</w:t>
      </w:r>
      <w:r>
        <w:rPr>
          <w:vertAlign w:val="subscript"/>
        </w:rPr>
        <w:t>2</w:t>
      </w:r>
      <w:r>
        <w:rPr/>
        <w:t xml:space="preserve"> reductions but that comes a little later.</w:t>
      </w:r>
    </w:p>
    <w:p>
      <w:pPr>
        <w:pStyle w:val="Bullet1"/>
        <w:numPr>
          <w:ilvl w:val="0"/>
          <w:numId w:val="2"/>
        </w:numPr>
        <w:rPr/>
      </w:pPr>
      <w:r>
        <w:rPr/>
        <w:t>NO</w:t>
      </w:r>
      <w:r>
        <w:rPr>
          <w:vertAlign w:val="subscript"/>
        </w:rPr>
        <w:t>x</w:t>
      </w:r>
      <w:r>
        <w:rPr/>
        <w:t xml:space="preserve"> - NO</w:t>
      </w:r>
      <w:r>
        <w:rPr>
          <w:vertAlign w:val="subscript"/>
        </w:rPr>
        <w:t>x</w:t>
      </w:r>
      <w:r>
        <w:rPr/>
        <w:t xml:space="preserve"> emissions are not currently capped expect for the Northeast Ozone Transport Region ozone season (summertime) trading program.  The next thing to happen is the SIP call/section 126 rules that will apply similar summertime NO</w:t>
      </w:r>
      <w:r>
        <w:rPr>
          <w:vertAlign w:val="subscript"/>
        </w:rPr>
        <w:t>x</w:t>
      </w:r>
      <w:r>
        <w:rPr/>
        <w:t xml:space="preserve"> emission caps to the northeastern 20 or so states starting in 2003 or 2004.  This is supposed to produce a 64 percent reduction or about 957,000 tons in these states during the summer.  There seems to be increasing discussion of broadening this regulation by extending the same cap level to year-round status and to nationwide status.  This could happen as a further part of the PM</w:t>
      </w:r>
      <w:r>
        <w:rPr>
          <w:vertAlign w:val="subscript"/>
        </w:rPr>
        <w:t>2.5</w:t>
      </w:r>
      <w:r>
        <w:rPr/>
        <w:t xml:space="preserve"> rule, regional haze rules or further acid rain rules.  Massachusetts, Maine and Connecticut have already established such requirements and New York is in the process. Extending the caps from summer only to year-round status will not entail large additional costs.  Extending it geographically will, of course create costs for a broader group.  The $/ton costs could actually be lower if the reductions are spread out over more time and a larger pool of sources.</w:t>
      </w:r>
    </w:p>
    <w:p>
      <w:pPr>
        <w:pStyle w:val="Bullet1"/>
        <w:numPr>
          <w:ilvl w:val="0"/>
          <w:numId w:val="2"/>
        </w:numPr>
        <w:rPr/>
      </w:pPr>
      <w:r>
        <w:rPr/>
        <w:t>Mercury - The EPA has officially said that it intends to regulate mercury from power generators and is on a schedule to do so by about 2008.  The control level has not been established but is expected to be in the range of a 70 to 90 percent reduction with a possibility of trading beyond the MACT floor.</w:t>
      </w:r>
    </w:p>
    <w:p>
      <w:pPr>
        <w:pStyle w:val="Bullet1"/>
        <w:numPr>
          <w:ilvl w:val="0"/>
          <w:numId w:val="2"/>
        </w:numPr>
        <w:rPr/>
      </w:pPr>
      <w:r>
        <w:rPr/>
        <w:t>CO</w:t>
      </w:r>
      <w:r>
        <w:rPr>
          <w:vertAlign w:val="subscript"/>
        </w:rPr>
        <w:t>2</w:t>
      </w:r>
      <w:r>
        <w:rPr/>
        <w:t xml:space="preserve"> - There is no U.S. requirement currently.  For reference, the overall Kyoto Protocol target for the U.S. is 7 percent below 1990 levels or about 1800 MMtons for power generators for the period 2008 to 2012.</w:t>
      </w:r>
    </w:p>
    <w:p>
      <w:pPr>
        <w:pStyle w:val="Normal"/>
        <w:rPr/>
      </w:pPr>
      <w:r>
        <w:rPr/>
        <w:t>Under the status quo, NSR requirements would continue to apply.  For the moment, we assume that the enforcement lawsuits will continue.  New sources in the emission trading programs will be at a disadvantage due to lack of allocations.  The implementation of the caps will continue to "freeze" technology advancement. (See other Clean Power Group materials for discussion of these issues.)</w:t>
      </w:r>
    </w:p>
    <w:p>
      <w:pPr>
        <w:pStyle w:val="Normal"/>
        <w:rPr/>
      </w:pPr>
      <w:r>
        <w:rPr/>
      </w:r>
    </w:p>
    <w:p>
      <w:pPr>
        <w:pStyle w:val="EEAHead1"/>
        <w:tabs>
          <w:tab w:val="clear" w:pos="720"/>
        </w:tabs>
        <w:spacing w:before="0" w:after="0"/>
        <w:rPr>
          <w:caps w:val="false"/>
          <w:smallCaps w:val="false"/>
        </w:rPr>
      </w:pPr>
      <w:r>
        <w:rPr>
          <w:caps w:val="false"/>
          <w:smallCaps w:val="false"/>
        </w:rPr>
        <w:t>Jeffords Bill</w:t>
      </w:r>
    </w:p>
    <w:p>
      <w:pPr>
        <w:pStyle w:val="Normal"/>
        <w:rPr/>
      </w:pPr>
      <w:r>
        <w:rPr/>
        <w:t>The Jeffords Bill (S556) does not provide a great deal of detail but is the most environmentally aggressive of current proposals.  It sets a 1/1/07 deadline for the following levels of reduction:</w:t>
      </w:r>
    </w:p>
    <w:p>
      <w:pPr>
        <w:pStyle w:val="Bullet1"/>
        <w:numPr>
          <w:ilvl w:val="0"/>
          <w:numId w:val="2"/>
        </w:numPr>
        <w:rPr/>
      </w:pPr>
      <w:r>
        <w:rPr/>
        <w:t>2.25 MMTon limit on SO</w:t>
      </w:r>
      <w:r>
        <w:rPr>
          <w:vertAlign w:val="subscript"/>
        </w:rPr>
        <w:t>2</w:t>
      </w:r>
      <w:r>
        <w:rPr/>
        <w:t xml:space="preserve"> - 75 percent reduction below acid rain levels</w:t>
      </w:r>
    </w:p>
    <w:p>
      <w:pPr>
        <w:pStyle w:val="Bullet1"/>
        <w:numPr>
          <w:ilvl w:val="0"/>
          <w:numId w:val="2"/>
        </w:numPr>
        <w:rPr/>
      </w:pPr>
      <w:r>
        <w:rPr/>
        <w:t>1.5 MMTon cap on NO</w:t>
      </w:r>
      <w:r>
        <w:rPr>
          <w:vertAlign w:val="subscript"/>
        </w:rPr>
        <w:t>x</w:t>
      </w:r>
      <w:r>
        <w:rPr/>
        <w:t xml:space="preserve"> emissions nationwide/year round - 75 percent below 1997 NO</w:t>
      </w:r>
      <w:r>
        <w:rPr>
          <w:vertAlign w:val="subscript"/>
        </w:rPr>
        <w:t>x</w:t>
      </w:r>
      <w:r>
        <w:rPr/>
        <w:t xml:space="preserve"> levels.</w:t>
      </w:r>
    </w:p>
    <w:p>
      <w:pPr>
        <w:pStyle w:val="Bullet1"/>
        <w:numPr>
          <w:ilvl w:val="0"/>
          <w:numId w:val="2"/>
        </w:numPr>
        <w:rPr/>
      </w:pPr>
      <w:r>
        <w:rPr/>
        <w:t>90 percent reduction in mercury emissions with no trading.</w:t>
      </w:r>
    </w:p>
    <w:p>
      <w:pPr>
        <w:pStyle w:val="Bullet1"/>
        <w:numPr>
          <w:ilvl w:val="0"/>
          <w:numId w:val="2"/>
        </w:numPr>
        <w:rPr/>
      </w:pPr>
      <w:r>
        <w:rPr/>
        <w:t>1944 MMTon cap on CO</w:t>
      </w:r>
      <w:r>
        <w:rPr>
          <w:vertAlign w:val="subscript"/>
        </w:rPr>
        <w:t>2</w:t>
      </w:r>
      <w:r>
        <w:rPr/>
        <w:t xml:space="preserve"> emissions - equal to 1990 levels - something close to the Kyoto target on an accelerated schedule.</w:t>
      </w:r>
    </w:p>
    <w:p>
      <w:pPr>
        <w:pStyle w:val="Normal"/>
        <w:rPr/>
      </w:pPr>
      <w:r>
        <w:rPr/>
        <w:t>The bill allows trading for pollutants other than mercury.  It calls for incentives for energy efficiency and renewables and actions to limit growth of natural gas demand.  It also requires “old source review” by requiring that power plants meet NSPS on the later of their 30</w:t>
      </w:r>
      <w:r>
        <w:rPr>
          <w:vertAlign w:val="superscript"/>
        </w:rPr>
        <w:t>th</w:t>
      </w:r>
      <w:r>
        <w:rPr/>
        <w:t xml:space="preserve"> year or 5 years after passage of the bill.  There is nothing in the bill about NSR reform.  </w:t>
      </w:r>
    </w:p>
    <w:p>
      <w:pPr>
        <w:pStyle w:val="Normal"/>
        <w:rPr/>
      </w:pPr>
      <w:r>
        <w:rPr/>
      </w:r>
    </w:p>
    <w:p>
      <w:pPr>
        <w:pStyle w:val="EEAHead1"/>
        <w:tabs>
          <w:tab w:val="clear" w:pos="720"/>
        </w:tabs>
        <w:spacing w:before="0" w:after="0"/>
        <w:rPr>
          <w:caps w:val="false"/>
          <w:smallCaps w:val="false"/>
        </w:rPr>
      </w:pPr>
      <w:r>
        <w:rPr>
          <w:caps w:val="false"/>
          <w:smallCaps w:val="false"/>
        </w:rPr>
        <w:t>Clean Energy Group</w:t>
      </w:r>
    </w:p>
    <w:p>
      <w:pPr>
        <w:pStyle w:val="Normal"/>
        <w:rPr/>
      </w:pPr>
      <w:r>
        <w:rPr/>
        <w:t>The CEG is the only other industry plan currently spelled out.  The terms are:</w:t>
      </w:r>
    </w:p>
    <w:p>
      <w:pPr>
        <w:pStyle w:val="Bullet1"/>
        <w:numPr>
          <w:ilvl w:val="0"/>
          <w:numId w:val="2"/>
        </w:numPr>
        <w:rPr/>
      </w:pPr>
      <w:r>
        <w:rPr/>
        <w:t>4.45 MMTon SO</w:t>
      </w:r>
      <w:r>
        <w:rPr>
          <w:vertAlign w:val="subscript"/>
        </w:rPr>
        <w:t>2</w:t>
      </w:r>
      <w:r>
        <w:rPr/>
        <w:t xml:space="preserve"> cap for currently affected sources in 2008 - about equal to the EPA expectation.</w:t>
      </w:r>
    </w:p>
    <w:p>
      <w:pPr>
        <w:pStyle w:val="Bullet1"/>
        <w:numPr>
          <w:ilvl w:val="0"/>
          <w:numId w:val="2"/>
        </w:numPr>
        <w:rPr/>
      </w:pPr>
      <w:r>
        <w:rPr/>
        <w:t>2.11 MMton NO</w:t>
      </w:r>
      <w:r>
        <w:rPr>
          <w:vertAlign w:val="subscript"/>
        </w:rPr>
        <w:t>x</w:t>
      </w:r>
      <w:r>
        <w:rPr/>
        <w:t xml:space="preserve"> cap in 2008 for fossil-fueled generators - approximately equal to year-round/national SIP call control levels</w:t>
      </w:r>
    </w:p>
    <w:p>
      <w:pPr>
        <w:pStyle w:val="Bullet1"/>
        <w:numPr>
          <w:ilvl w:val="0"/>
          <w:numId w:val="2"/>
        </w:numPr>
        <w:rPr/>
      </w:pPr>
      <w:r>
        <w:rPr/>
        <w:t>50 percent reduction in mercury by 2008 for coal-fired units, with trading</w:t>
      </w:r>
    </w:p>
    <w:p>
      <w:pPr>
        <w:pStyle w:val="Bullet1"/>
        <w:numPr>
          <w:ilvl w:val="0"/>
          <w:numId w:val="2"/>
        </w:numPr>
        <w:rPr/>
      </w:pPr>
      <w:r>
        <w:rPr/>
        <w:t>Meet 2000 CO</w:t>
      </w:r>
      <w:r>
        <w:rPr>
          <w:vertAlign w:val="subscript"/>
        </w:rPr>
        <w:t>2</w:t>
      </w:r>
      <w:r>
        <w:rPr/>
        <w:t xml:space="preserve"> emission level in 2008.  1925 MMton limit in 2012.  This is similar to Kyoto requirements but a little more gradual.  Allocation to renewable generators, end use efficiency and some nuclear generation.</w:t>
      </w:r>
    </w:p>
    <w:p>
      <w:pPr>
        <w:pStyle w:val="Normal"/>
        <w:rPr/>
      </w:pPr>
      <w:r>
        <w:rPr/>
        <w:t>Trading is allowed for all pollutants.  Major modification NSR is reformed.  LAER is capped at twice the cost of BACT.  Output-based allocation is provided for mercury, NO</w:t>
      </w:r>
      <w:r>
        <w:rPr>
          <w:vertAlign w:val="subscript"/>
        </w:rPr>
        <w:t>x</w:t>
      </w:r>
      <w:r>
        <w:rPr/>
        <w:t>, and CO</w:t>
      </w:r>
      <w:r>
        <w:rPr>
          <w:vertAlign w:val="subscript"/>
        </w:rPr>
        <w:t>2</w:t>
      </w:r>
      <w:r>
        <w:rPr/>
        <w:t xml:space="preserve"> but allocation is not changed for SO</w:t>
      </w:r>
      <w:r>
        <w:rPr>
          <w:vertAlign w:val="subscript"/>
        </w:rPr>
        <w:t>2</w:t>
      </w:r>
      <w:r>
        <w:rPr/>
        <w:t xml:space="preserve"> .  </w:t>
      </w:r>
    </w:p>
    <w:p>
      <w:pPr>
        <w:pStyle w:val="Normal"/>
        <w:rPr/>
      </w:pPr>
      <w:r>
        <w:rPr/>
      </w:r>
    </w:p>
    <w:p>
      <w:pPr>
        <w:pStyle w:val="EEAHead1"/>
        <w:tabs>
          <w:tab w:val="clear" w:pos="720"/>
        </w:tabs>
        <w:spacing w:before="0" w:after="0"/>
        <w:rPr>
          <w:caps w:val="false"/>
          <w:smallCaps w:val="false"/>
        </w:rPr>
      </w:pPr>
      <w:r>
        <w:rPr>
          <w:caps w:val="false"/>
          <w:smallCaps w:val="false"/>
        </w:rPr>
        <w:t>Summary</w:t>
      </w:r>
    </w:p>
    <w:p>
      <w:pPr>
        <w:pStyle w:val="Normal"/>
        <w:rPr/>
      </w:pPr>
      <w:r>
        <w:rPr/>
        <w:t>The plans are summarized in Table 1.  The Clean Energy Group seems to be following the expected EPA lead on SO</w:t>
      </w:r>
      <w:r>
        <w:rPr>
          <w:vertAlign w:val="subscript"/>
        </w:rPr>
        <w:t>2</w:t>
      </w:r>
      <w:r>
        <w:rPr/>
        <w:t xml:space="preserve"> (50 percent reduction by 2008) and less aggressive than the Jeffords level.  On NO</w:t>
      </w:r>
      <w:r>
        <w:rPr>
          <w:vertAlign w:val="subscript"/>
        </w:rPr>
        <w:t>x</w:t>
      </w:r>
      <w:r>
        <w:rPr/>
        <w:t>, CEG is following the growing trend to apply SIP call level reductions by 2008.  This is more aggressive than the status quo but slightly less than the Jeffords position.  On mercury, CEG is less aggressive than the EPA or Jeffords plans.  On CO</w:t>
      </w:r>
      <w:r>
        <w:rPr>
          <w:vertAlign w:val="subscript"/>
        </w:rPr>
        <w:t>2</w:t>
      </w:r>
      <w:r>
        <w:rPr/>
        <w:t>, CEG includes a mandatory cap but is a little less aggressive in phasing it in than the Jeffords bill, though it is very close to Kyoto levels and targets.</w:t>
      </w:r>
    </w:p>
    <w:p>
      <w:pPr>
        <w:pStyle w:val="Normal"/>
        <w:rPr/>
      </w:pPr>
      <w:r>
        <w:rPr/>
      </w:r>
    </w:p>
    <w:p>
      <w:pPr>
        <w:pStyle w:val="Normal"/>
        <w:rPr/>
      </w:pPr>
      <w:r>
        <w:rPr/>
      </w:r>
    </w:p>
    <w:p>
      <w:pPr>
        <w:pStyle w:val="Normal"/>
        <w:jc w:val="center"/>
        <w:rPr>
          <w:b/>
        </w:rPr>
      </w:pPr>
      <w:r>
        <w:rPr>
          <w:b/>
        </w:rPr>
        <w:t>Table 1</w:t>
      </w:r>
    </w:p>
    <w:p>
      <w:pPr>
        <w:pStyle w:val="Heading1"/>
        <w:ind w:hanging="0" w:start="0"/>
        <w:rPr/>
      </w:pPr>
      <w:r>
        <w:rPr/>
        <w:t>Comparison of Multipollutant Proposals</w:t>
      </w:r>
    </w:p>
    <w:p>
      <w:pPr>
        <w:pStyle w:val="Normal"/>
        <w:jc w:val="center"/>
        <w:rPr/>
      </w:pPr>
      <w:r>
        <w:rPr/>
      </w:r>
    </w:p>
    <w:tbl>
      <w:tblPr>
        <w:tblW w:w="9576" w:type="dxa"/>
        <w:jc w:val="center"/>
        <w:tblInd w:w="0" w:type="dxa"/>
        <w:tblLayout w:type="fixed"/>
        <w:tblCellMar>
          <w:top w:w="0" w:type="dxa"/>
          <w:start w:w="108" w:type="dxa"/>
          <w:bottom w:w="0" w:type="dxa"/>
          <w:end w:w="108" w:type="dxa"/>
        </w:tblCellMar>
      </w:tblPr>
      <w:tblGrid>
        <w:gridCol w:w="1368"/>
        <w:gridCol w:w="1998"/>
        <w:gridCol w:w="2070"/>
        <w:gridCol w:w="2070"/>
        <w:gridCol w:w="2070"/>
      </w:tblGrid>
      <w:tr>
        <w:trPr/>
        <w:tc>
          <w:tcPr>
            <w:tcW w:w="1368" w:type="dxa"/>
            <w:tcBorders>
              <w:top w:val="single" w:sz="12" w:space="0" w:color="008000"/>
              <w:bottom w:val="single" w:sz="6" w:space="0" w:color="008000"/>
            </w:tcBorders>
          </w:tcPr>
          <w:p>
            <w:pPr>
              <w:pStyle w:val="Normal"/>
              <w:snapToGrid w:val="false"/>
              <w:rPr/>
            </w:pPr>
            <w:r>
              <w:rPr/>
            </w:r>
          </w:p>
        </w:tc>
        <w:tc>
          <w:tcPr>
            <w:tcW w:w="1998" w:type="dxa"/>
            <w:tcBorders>
              <w:top w:val="single" w:sz="12" w:space="0" w:color="008000"/>
              <w:bottom w:val="single" w:sz="6" w:space="0" w:color="008000"/>
            </w:tcBorders>
          </w:tcPr>
          <w:p>
            <w:pPr>
              <w:pStyle w:val="Normal"/>
              <w:jc w:val="center"/>
              <w:rPr/>
            </w:pPr>
            <w:r>
              <w:rPr/>
              <w:t>2000</w:t>
            </w:r>
          </w:p>
        </w:tc>
        <w:tc>
          <w:tcPr>
            <w:tcW w:w="2070" w:type="dxa"/>
            <w:tcBorders>
              <w:top w:val="single" w:sz="12" w:space="0" w:color="008000"/>
              <w:bottom w:val="single" w:sz="6" w:space="0" w:color="008000"/>
            </w:tcBorders>
          </w:tcPr>
          <w:p>
            <w:pPr>
              <w:pStyle w:val="Normal"/>
              <w:jc w:val="center"/>
              <w:rPr/>
            </w:pPr>
            <w:r>
              <w:rPr/>
              <w:t>EPA Expectation</w:t>
            </w:r>
          </w:p>
        </w:tc>
        <w:tc>
          <w:tcPr>
            <w:tcW w:w="2070" w:type="dxa"/>
            <w:tcBorders>
              <w:top w:val="single" w:sz="12" w:space="0" w:color="008000"/>
              <w:bottom w:val="single" w:sz="6" w:space="0" w:color="008000"/>
            </w:tcBorders>
          </w:tcPr>
          <w:p>
            <w:pPr>
              <w:pStyle w:val="Heading1"/>
              <w:ind w:hanging="0" w:start="0"/>
              <w:rPr>
                <w:b w:val="false"/>
              </w:rPr>
            </w:pPr>
            <w:r>
              <w:rPr>
                <w:b w:val="false"/>
              </w:rPr>
              <w:t>Jeffords</w:t>
            </w:r>
          </w:p>
        </w:tc>
        <w:tc>
          <w:tcPr>
            <w:tcW w:w="2070" w:type="dxa"/>
            <w:tcBorders>
              <w:top w:val="single" w:sz="12" w:space="0" w:color="008000"/>
              <w:bottom w:val="single" w:sz="6" w:space="0" w:color="008000"/>
            </w:tcBorders>
          </w:tcPr>
          <w:p>
            <w:pPr>
              <w:pStyle w:val="Normal"/>
              <w:jc w:val="center"/>
              <w:rPr/>
            </w:pPr>
            <w:r>
              <w:rPr/>
              <w:t>CEG</w:t>
            </w:r>
          </w:p>
        </w:tc>
      </w:tr>
      <w:tr>
        <w:trPr/>
        <w:tc>
          <w:tcPr>
            <w:tcW w:w="1368" w:type="dxa"/>
            <w:tcBorders/>
          </w:tcPr>
          <w:p>
            <w:pPr>
              <w:pStyle w:val="Normal"/>
              <w:rPr/>
            </w:pPr>
            <w:r>
              <w:rPr/>
              <w:t>SO</w:t>
            </w:r>
            <w:r>
              <w:rPr>
                <w:vertAlign w:val="subscript"/>
              </w:rPr>
              <w:t>2</w:t>
            </w:r>
          </w:p>
        </w:tc>
        <w:tc>
          <w:tcPr>
            <w:tcW w:w="1998" w:type="dxa"/>
            <w:tcBorders/>
          </w:tcPr>
          <w:p>
            <w:pPr>
              <w:pStyle w:val="eeaopen"/>
              <w:rPr/>
            </w:pPr>
            <w:r>
              <w:rPr/>
              <w:t>11.2 MMtons</w:t>
            </w:r>
          </w:p>
        </w:tc>
        <w:tc>
          <w:tcPr>
            <w:tcW w:w="2070" w:type="dxa"/>
            <w:tcBorders/>
          </w:tcPr>
          <w:p>
            <w:pPr>
              <w:pStyle w:val="Normal"/>
              <w:rPr/>
            </w:pPr>
            <w:r>
              <w:rPr/>
              <w:t xml:space="preserve">9 MMton cap, cut to 4.5 MMTon in 2008.  </w:t>
            </w:r>
          </w:p>
          <w:p>
            <w:pPr>
              <w:pStyle w:val="Normal"/>
              <w:rPr/>
            </w:pPr>
            <w:r>
              <w:rPr/>
            </w:r>
          </w:p>
        </w:tc>
        <w:tc>
          <w:tcPr>
            <w:tcW w:w="2070" w:type="dxa"/>
            <w:tcBorders/>
          </w:tcPr>
          <w:p>
            <w:pPr>
              <w:pStyle w:val="Normal"/>
              <w:rPr/>
            </w:pPr>
            <w:r>
              <w:rPr/>
              <w:t>2.25 MMtons in 2007</w:t>
            </w:r>
          </w:p>
        </w:tc>
        <w:tc>
          <w:tcPr>
            <w:tcW w:w="2070" w:type="dxa"/>
            <w:tcBorders/>
          </w:tcPr>
          <w:p>
            <w:pPr>
              <w:pStyle w:val="Normal"/>
              <w:rPr/>
            </w:pPr>
            <w:r>
              <w:rPr/>
              <w:t>4.45 MMtons in 2008</w:t>
            </w:r>
          </w:p>
        </w:tc>
      </w:tr>
      <w:tr>
        <w:trPr/>
        <w:tc>
          <w:tcPr>
            <w:tcW w:w="1368" w:type="dxa"/>
            <w:tcBorders/>
          </w:tcPr>
          <w:p>
            <w:pPr>
              <w:pStyle w:val="Normal"/>
              <w:rPr/>
            </w:pPr>
            <w:r>
              <w:rPr/>
              <w:t>NO</w:t>
            </w:r>
            <w:r>
              <w:rPr>
                <w:vertAlign w:val="subscript"/>
              </w:rPr>
              <w:t>x</w:t>
            </w:r>
          </w:p>
        </w:tc>
        <w:tc>
          <w:tcPr>
            <w:tcW w:w="1998" w:type="dxa"/>
            <w:tcBorders/>
          </w:tcPr>
          <w:p>
            <w:pPr>
              <w:pStyle w:val="Normal"/>
              <w:rPr/>
            </w:pPr>
            <w:r>
              <w:rPr/>
              <w:t>5.1 MMtons</w:t>
            </w:r>
          </w:p>
        </w:tc>
        <w:tc>
          <w:tcPr>
            <w:tcW w:w="2070" w:type="dxa"/>
            <w:tcBorders/>
          </w:tcPr>
          <w:p>
            <w:pPr>
              <w:pStyle w:val="Normal"/>
              <w:rPr/>
            </w:pPr>
            <w:r>
              <w:rPr/>
              <w:t xml:space="preserve">530,000 ton summer cap for SIP call in 2004.  </w:t>
            </w:r>
          </w:p>
          <w:p>
            <w:pPr>
              <w:pStyle w:val="Normal"/>
              <w:rPr/>
            </w:pPr>
            <w:r>
              <w:rPr/>
            </w:r>
          </w:p>
        </w:tc>
        <w:tc>
          <w:tcPr>
            <w:tcW w:w="2070" w:type="dxa"/>
            <w:tcBorders/>
          </w:tcPr>
          <w:p>
            <w:pPr>
              <w:pStyle w:val="Normal"/>
              <w:rPr/>
            </w:pPr>
            <w:r>
              <w:rPr/>
              <w:t>1.5 MMtons in 2007</w:t>
            </w:r>
          </w:p>
        </w:tc>
        <w:tc>
          <w:tcPr>
            <w:tcW w:w="2070" w:type="dxa"/>
            <w:tcBorders/>
          </w:tcPr>
          <w:p>
            <w:pPr>
              <w:pStyle w:val="Normal"/>
              <w:rPr/>
            </w:pPr>
            <w:r>
              <w:rPr/>
              <w:t>2.11 MMtons in 2008</w:t>
            </w:r>
          </w:p>
        </w:tc>
      </w:tr>
      <w:tr>
        <w:trPr/>
        <w:tc>
          <w:tcPr>
            <w:tcW w:w="1368" w:type="dxa"/>
            <w:tcBorders/>
          </w:tcPr>
          <w:p>
            <w:pPr>
              <w:pStyle w:val="Normal"/>
              <w:rPr/>
            </w:pPr>
            <w:r>
              <w:rPr/>
              <w:t>Hg</w:t>
            </w:r>
          </w:p>
        </w:tc>
        <w:tc>
          <w:tcPr>
            <w:tcW w:w="1998" w:type="dxa"/>
            <w:tcBorders/>
          </w:tcPr>
          <w:p>
            <w:pPr>
              <w:pStyle w:val="Normal"/>
              <w:rPr/>
            </w:pPr>
            <w:r>
              <w:rPr/>
              <w:t>43 tons</w:t>
            </w:r>
          </w:p>
        </w:tc>
        <w:tc>
          <w:tcPr>
            <w:tcW w:w="2070" w:type="dxa"/>
            <w:tcBorders/>
          </w:tcPr>
          <w:p>
            <w:pPr>
              <w:pStyle w:val="Normal"/>
              <w:rPr/>
            </w:pPr>
            <w:r>
              <w:rPr/>
              <w:t>70 to 90% MACT reduction in 2008</w:t>
            </w:r>
          </w:p>
          <w:p>
            <w:pPr>
              <w:pStyle w:val="Normal"/>
              <w:rPr/>
            </w:pPr>
            <w:r>
              <w:rPr/>
            </w:r>
          </w:p>
        </w:tc>
        <w:tc>
          <w:tcPr>
            <w:tcW w:w="2070" w:type="dxa"/>
            <w:tcBorders/>
          </w:tcPr>
          <w:p>
            <w:pPr>
              <w:pStyle w:val="Normal"/>
              <w:rPr/>
            </w:pPr>
            <w:r>
              <w:rPr/>
              <w:t xml:space="preserve">90% reduction in 2007, no trading </w:t>
            </w:r>
          </w:p>
        </w:tc>
        <w:tc>
          <w:tcPr>
            <w:tcW w:w="2070" w:type="dxa"/>
            <w:tcBorders/>
          </w:tcPr>
          <w:p>
            <w:pPr>
              <w:pStyle w:val="Normal"/>
              <w:rPr/>
            </w:pPr>
            <w:r>
              <w:rPr/>
              <w:t>50% reduction in 2008</w:t>
            </w:r>
          </w:p>
        </w:tc>
      </w:tr>
      <w:tr>
        <w:trPr/>
        <w:tc>
          <w:tcPr>
            <w:tcW w:w="1368" w:type="dxa"/>
            <w:tcBorders/>
          </w:tcPr>
          <w:p>
            <w:pPr>
              <w:pStyle w:val="Normal"/>
              <w:rPr/>
            </w:pPr>
            <w:r>
              <w:rPr/>
              <w:t>CO</w:t>
            </w:r>
            <w:r>
              <w:rPr>
                <w:vertAlign w:val="subscript"/>
              </w:rPr>
              <w:t>2</w:t>
            </w:r>
          </w:p>
        </w:tc>
        <w:tc>
          <w:tcPr>
            <w:tcW w:w="1998" w:type="dxa"/>
            <w:tcBorders/>
          </w:tcPr>
          <w:p>
            <w:pPr>
              <w:pStyle w:val="Normal"/>
              <w:rPr/>
            </w:pPr>
            <w:r>
              <w:rPr/>
              <w:t>2,453 MMtons</w:t>
            </w:r>
          </w:p>
        </w:tc>
        <w:tc>
          <w:tcPr>
            <w:tcW w:w="2070" w:type="dxa"/>
            <w:tcBorders/>
          </w:tcPr>
          <w:p>
            <w:pPr>
              <w:pStyle w:val="Normal"/>
              <w:rPr/>
            </w:pPr>
            <w:r>
              <w:rPr/>
              <w:t>???</w:t>
            </w:r>
          </w:p>
        </w:tc>
        <w:tc>
          <w:tcPr>
            <w:tcW w:w="2070" w:type="dxa"/>
            <w:tcBorders/>
          </w:tcPr>
          <w:p>
            <w:pPr>
              <w:pStyle w:val="Normal"/>
              <w:rPr/>
            </w:pPr>
            <w:r>
              <w:rPr/>
              <w:t>1,944 (1990) in 2007</w:t>
            </w:r>
          </w:p>
        </w:tc>
        <w:tc>
          <w:tcPr>
            <w:tcW w:w="2070" w:type="dxa"/>
            <w:tcBorders/>
          </w:tcPr>
          <w:p>
            <w:pPr>
              <w:pStyle w:val="Normal"/>
              <w:rPr/>
            </w:pPr>
            <w:r>
              <w:rPr/>
              <w:t>2000 level in 2008</w:t>
            </w:r>
          </w:p>
          <w:p>
            <w:pPr>
              <w:pStyle w:val="Normal"/>
              <w:rPr/>
            </w:pPr>
            <w:r>
              <w:rPr/>
              <w:t>1,925 in 2012</w:t>
            </w:r>
          </w:p>
          <w:p>
            <w:pPr>
              <w:pStyle w:val="Normal"/>
              <w:rPr/>
            </w:pPr>
            <w:r>
              <w:rPr/>
            </w:r>
          </w:p>
        </w:tc>
      </w:tr>
      <w:tr>
        <w:trPr/>
        <w:tc>
          <w:tcPr>
            <w:tcW w:w="1368" w:type="dxa"/>
            <w:tcBorders/>
          </w:tcPr>
          <w:p>
            <w:pPr>
              <w:pStyle w:val="Normal"/>
              <w:rPr/>
            </w:pPr>
            <w:r>
              <w:rPr/>
              <w:t>NSR</w:t>
            </w:r>
          </w:p>
        </w:tc>
        <w:tc>
          <w:tcPr>
            <w:tcW w:w="1998" w:type="dxa"/>
            <w:tcBorders/>
          </w:tcPr>
          <w:p>
            <w:pPr>
              <w:pStyle w:val="Normal"/>
              <w:rPr/>
            </w:pPr>
            <w:r>
              <w:rPr/>
              <w:t>Full effect, enforcement lawsuits</w:t>
            </w:r>
          </w:p>
        </w:tc>
        <w:tc>
          <w:tcPr>
            <w:tcW w:w="2070" w:type="dxa"/>
            <w:tcBorders/>
          </w:tcPr>
          <w:p>
            <w:pPr>
              <w:pStyle w:val="Normal"/>
              <w:rPr/>
            </w:pPr>
            <w:r>
              <w:rPr/>
              <w:t>Full effect, enforcement lawsuits</w:t>
            </w:r>
          </w:p>
          <w:p>
            <w:pPr>
              <w:pStyle w:val="Normal"/>
              <w:rPr/>
            </w:pPr>
            <w:r>
              <w:rPr/>
            </w:r>
          </w:p>
        </w:tc>
        <w:tc>
          <w:tcPr>
            <w:tcW w:w="2070" w:type="dxa"/>
            <w:tcBorders/>
          </w:tcPr>
          <w:p>
            <w:pPr>
              <w:pStyle w:val="Normal"/>
              <w:rPr/>
            </w:pPr>
            <w:r>
              <w:rPr/>
              <w:t>No change</w:t>
            </w:r>
          </w:p>
        </w:tc>
        <w:tc>
          <w:tcPr>
            <w:tcW w:w="2070" w:type="dxa"/>
            <w:tcBorders/>
          </w:tcPr>
          <w:p>
            <w:pPr>
              <w:pStyle w:val="Normal"/>
              <w:rPr/>
            </w:pPr>
            <w:r>
              <w:rPr/>
              <w:t>Major mod reform, cost limit on LAER</w:t>
            </w:r>
          </w:p>
        </w:tc>
      </w:tr>
      <w:tr>
        <w:trPr/>
        <w:tc>
          <w:tcPr>
            <w:tcW w:w="1368" w:type="dxa"/>
            <w:tcBorders/>
          </w:tcPr>
          <w:p>
            <w:pPr>
              <w:pStyle w:val="Normal"/>
              <w:rPr/>
            </w:pPr>
            <w:r>
              <w:rPr/>
              <w:t>Technology Effects</w:t>
            </w:r>
          </w:p>
        </w:tc>
        <w:tc>
          <w:tcPr>
            <w:tcW w:w="1998" w:type="dxa"/>
            <w:tcBorders/>
          </w:tcPr>
          <w:p>
            <w:pPr>
              <w:pStyle w:val="Normal"/>
              <w:snapToGrid w:val="false"/>
              <w:rPr/>
            </w:pPr>
            <w:r>
              <w:rPr/>
            </w:r>
          </w:p>
        </w:tc>
        <w:tc>
          <w:tcPr>
            <w:tcW w:w="2070" w:type="dxa"/>
            <w:tcBorders/>
          </w:tcPr>
          <w:p>
            <w:pPr>
              <w:pStyle w:val="Normal"/>
              <w:rPr/>
            </w:pPr>
            <w:r>
              <w:rPr/>
              <w:t>Freezing effect, no incentive for low emissions, high efficiency</w:t>
            </w:r>
          </w:p>
          <w:p>
            <w:pPr>
              <w:pStyle w:val="Normal"/>
              <w:rPr/>
            </w:pPr>
            <w:r>
              <w:rPr/>
            </w:r>
          </w:p>
        </w:tc>
        <w:tc>
          <w:tcPr>
            <w:tcW w:w="2070" w:type="dxa"/>
            <w:tcBorders/>
          </w:tcPr>
          <w:p>
            <w:pPr>
              <w:pStyle w:val="Normal"/>
              <w:rPr/>
            </w:pPr>
            <w:r>
              <w:rPr/>
              <w:t>N/A</w:t>
            </w:r>
          </w:p>
        </w:tc>
        <w:tc>
          <w:tcPr>
            <w:tcW w:w="2070" w:type="dxa"/>
            <w:tcBorders/>
          </w:tcPr>
          <w:p>
            <w:pPr>
              <w:pStyle w:val="Normal"/>
              <w:rPr/>
            </w:pPr>
            <w:r>
              <w:rPr/>
              <w:t>Freezing effect</w:t>
            </w:r>
          </w:p>
        </w:tc>
      </w:tr>
      <w:tr>
        <w:trPr/>
        <w:tc>
          <w:tcPr>
            <w:tcW w:w="1368" w:type="dxa"/>
            <w:tcBorders>
              <w:bottom w:val="single" w:sz="12" w:space="0" w:color="008000"/>
            </w:tcBorders>
          </w:tcPr>
          <w:p>
            <w:pPr>
              <w:pStyle w:val="Normal"/>
              <w:rPr/>
            </w:pPr>
            <w:r>
              <w:rPr/>
              <w:t>Other</w:t>
            </w:r>
          </w:p>
        </w:tc>
        <w:tc>
          <w:tcPr>
            <w:tcW w:w="1998" w:type="dxa"/>
            <w:tcBorders>
              <w:bottom w:val="single" w:sz="12" w:space="0" w:color="008000"/>
            </w:tcBorders>
          </w:tcPr>
          <w:p>
            <w:pPr>
              <w:pStyle w:val="Normal"/>
              <w:snapToGrid w:val="false"/>
              <w:rPr/>
            </w:pPr>
            <w:r>
              <w:rPr/>
            </w:r>
          </w:p>
        </w:tc>
        <w:tc>
          <w:tcPr>
            <w:tcW w:w="2070" w:type="dxa"/>
            <w:tcBorders>
              <w:bottom w:val="single" w:sz="12" w:space="0" w:color="008000"/>
            </w:tcBorders>
          </w:tcPr>
          <w:p>
            <w:pPr>
              <w:pStyle w:val="Normal"/>
              <w:rPr/>
            </w:pPr>
            <w:r>
              <w:rPr/>
              <w:t>Individual state limits</w:t>
            </w:r>
          </w:p>
        </w:tc>
        <w:tc>
          <w:tcPr>
            <w:tcW w:w="2070" w:type="dxa"/>
            <w:tcBorders>
              <w:bottom w:val="single" w:sz="12" w:space="0" w:color="008000"/>
            </w:tcBorders>
          </w:tcPr>
          <w:p>
            <w:pPr>
              <w:pStyle w:val="Normal"/>
              <w:rPr/>
            </w:pPr>
            <w:r>
              <w:rPr/>
              <w:t>Old source review</w:t>
            </w:r>
          </w:p>
        </w:tc>
        <w:tc>
          <w:tcPr>
            <w:tcW w:w="2070" w:type="dxa"/>
            <w:tcBorders>
              <w:bottom w:val="single" w:sz="12" w:space="0" w:color="008000"/>
            </w:tcBorders>
          </w:tcPr>
          <w:p>
            <w:pPr>
              <w:pStyle w:val="Normal"/>
              <w:snapToGrid w:val="false"/>
              <w:rPr/>
            </w:pPr>
            <w:r>
              <w:rPr/>
            </w:r>
          </w:p>
        </w:tc>
      </w:tr>
    </w:tbl>
    <w:p>
      <w:pPr>
        <w:pStyle w:val="Normal"/>
        <w:rPr/>
      </w:pPr>
      <w:r>
        <w:rPr/>
      </w:r>
    </w:p>
    <w:p>
      <w:pPr>
        <w:pStyle w:val="Normal"/>
        <w:rPr/>
      </w:pPr>
      <w:r>
        <w:rPr/>
      </w:r>
    </w:p>
    <w:p>
      <w:pPr>
        <w:pStyle w:val="EEAHead1"/>
        <w:tabs>
          <w:tab w:val="clear" w:pos="720"/>
        </w:tabs>
        <w:spacing w:before="0" w:after="0"/>
        <w:rPr>
          <w:caps w:val="false"/>
          <w:smallCaps w:val="false"/>
        </w:rPr>
      </w:pPr>
      <w:r>
        <w:rPr>
          <w:caps w:val="false"/>
          <w:smallCaps w:val="false"/>
        </w:rPr>
        <w:t>The Clean Power Group Plan</w:t>
      </w:r>
    </w:p>
    <w:p>
      <w:pPr>
        <w:pStyle w:val="Normal"/>
        <w:rPr/>
      </w:pPr>
      <w:r>
        <w:rPr/>
        <w:t>The basic approach of the CPG plan is to start earlier than the other approaches but phase in more gradually with the circuit breaker as a moderator.  The gradual phase-in allows and encourages the development and implementation of new technology.  The declining cap provides the technology forcing and emission reductions that NSR is supposed to provide but does a better job of encouraging efficiency and pollution prevention.  Continuing output-based allowance allocation provides an incentive for new plants and encourages efficiency.  Requiring the reductions of all pollutants to take place on approximately the same schedule provides an incentive for multipollutant reductions.  The system encourages the development of new technology for all fuels by treating all plants the same.</w:t>
      </w:r>
    </w:p>
    <w:p>
      <w:pPr>
        <w:pStyle w:val="Normal"/>
        <w:rPr/>
      </w:pPr>
      <w:r>
        <w:rPr/>
      </w:r>
    </w:p>
    <w:p>
      <w:pPr>
        <w:pStyle w:val="Normal"/>
        <w:rPr/>
      </w:pPr>
      <w:r>
        <w:rPr/>
        <w:t xml:space="preserve">This presentation assumes that a bill is passed this year and the first year of reduction is 2003. The bill can be applied on this rapid schedule because it is phased in gradually and the initial reduction is relatively small. </w:t>
      </w:r>
    </w:p>
    <w:p>
      <w:pPr>
        <w:pStyle w:val="Normal"/>
        <w:rPr/>
      </w:pPr>
      <w:r>
        <w:rPr/>
      </w:r>
    </w:p>
    <w:p>
      <w:pPr>
        <w:pStyle w:val="Normal"/>
        <w:rPr/>
      </w:pPr>
      <w:r>
        <w:rPr/>
        <w:t>SO</w:t>
      </w:r>
      <w:r>
        <w:rPr>
          <w:vertAlign w:val="subscript"/>
        </w:rPr>
        <w:t>2</w:t>
      </w:r>
      <w:r>
        <w:rPr/>
        <w:t xml:space="preserve"> </w:t>
      </w:r>
    </w:p>
    <w:p>
      <w:pPr>
        <w:pStyle w:val="Normal"/>
        <w:rPr/>
      </w:pPr>
      <w:r>
        <w:rPr/>
        <w:t>Figure 1 compares the various approaches, which focus on a 50 to 75 percent reduction in 2007/8.  The CPG proposal applies a 10 percent per year reduction starting in 2003 from acid rain levels (9 MMtons plus 0.5 MMton baseline for non-Title IV sources).  This creates earlier reductions than the other plans and reaches about the same point in 2007/8.  This trajectory creates over 12 MMtons of early reductions compared to the current EPA expectation.  The circuit breaker would be $600/ton.  The current price of SO</w:t>
      </w:r>
      <w:r>
        <w:rPr>
          <w:vertAlign w:val="subscript"/>
        </w:rPr>
        <w:t>2</w:t>
      </w:r>
      <w:r>
        <w:rPr/>
        <w:t xml:space="preserve"> allowances is around $200/ton.</w:t>
      </w:r>
    </w:p>
    <w:p>
      <w:pPr>
        <w:pStyle w:val="Normal"/>
        <w:rPr/>
      </w:pPr>
      <w:r>
        <w:rPr/>
      </w:r>
    </w:p>
    <w:p>
      <w:pPr>
        <w:pStyle w:val="Normal"/>
        <w:jc w:val="center"/>
        <w:rPr>
          <w:b/>
        </w:rPr>
      </w:pPr>
      <w:r>
        <w:rPr>
          <w:b/>
        </w:rPr>
        <w:t>Figure 1</w:t>
      </w:r>
    </w:p>
    <w:p>
      <w:pPr>
        <w:pStyle w:val="Normal"/>
        <w:jc w:val="center"/>
        <w:rPr/>
      </w:pPr>
      <w:r>
        <w:rPr>
          <w:b/>
        </w:rPr>
        <w:t>Comparison of SO</w:t>
      </w:r>
      <w:r>
        <w:rPr>
          <w:b/>
          <w:vertAlign w:val="subscript"/>
        </w:rPr>
        <w:t>2</w:t>
      </w:r>
      <w:r>
        <w:rPr>
          <w:b/>
        </w:rPr>
        <w:t xml:space="preserve"> Plans</w:t>
      </w:r>
    </w:p>
    <w:p>
      <w:pPr>
        <w:pStyle w:val="eeaopen"/>
        <w:rPr/>
      </w:pPr>
      <w:r>
        <w:rPr/>
      </w:r>
    </w:p>
    <w:p>
      <w:pPr>
        <w:pStyle w:val="eeaopen"/>
        <w:rPr/>
      </w:pPr>
      <w: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5482590" cy="374904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5482590" cy="3749040"/>
                    </a:xfrm>
                    <a:prstGeom prst="rect">
                      <a:avLst/>
                    </a:prstGeom>
                    <a:noFill/>
                  </pic:spPr>
                </pic:pic>
              </a:graphicData>
            </a:graphic>
          </wp:anchor>
        </w:drawing>
      </w:r>
      <w:r>
        <w:rPr/>
        <w:t>NO</w:t>
      </w:r>
      <w:r>
        <w:rPr>
          <w:vertAlign w:val="subscript"/>
        </w:rPr>
        <w:t>x</w:t>
      </w:r>
    </w:p>
    <w:p>
      <w:pPr>
        <w:pStyle w:val="Normal"/>
        <w:rPr/>
      </w:pPr>
      <w:r>
        <w:rPr/>
        <w:t>Figure 2 compares the various approaches for NO</w:t>
      </w:r>
      <w:r>
        <w:rPr>
          <w:vertAlign w:val="subscript"/>
        </w:rPr>
        <w:t>x</w:t>
      </w:r>
      <w:r>
        <w:rPr/>
        <w:t xml:space="preserve"> reduction.  The comparison is a little difficult because the regional/seasonal effect of the SIP call is not clearly shown in the overall numbers.  The current expectation is the SIP call reduction in 2003/2004, but there is a lot of movement towards the year-round version. The Clean Power Group plan starts in 2003 with a 12 percent per year reduction from current levels (including non-acid rain generators).  The total emission level is lower than the SIP call, though it may not provide exactly the same ozone season/regional benefits as the SIP call would in 2004.  On an overall basis, the CPG plan would create about 4.5 MMtons of early reduction compared to the expected EPA action by 2007.  The circuit breaker would be $3,000/ton. The current price of NO</w:t>
      </w:r>
      <w:r>
        <w:rPr>
          <w:vertAlign w:val="subscript"/>
        </w:rPr>
        <w:t>x</w:t>
      </w:r>
      <w:r>
        <w:rPr/>
        <w:t xml:space="preserve"> allowances in the OTR is around $1000/ton.</w:t>
      </w:r>
    </w:p>
    <w:p>
      <w:pPr>
        <w:pStyle w:val="Normal"/>
        <w:rPr/>
      </w:pPr>
      <w:r>
        <w:rPr/>
      </w:r>
    </w:p>
    <w:p>
      <w:pPr>
        <w:pStyle w:val="Normal"/>
        <w:rPr/>
      </w:pPr>
      <w:r>
        <w:rPr/>
      </w:r>
    </w:p>
    <w:p>
      <w:pPr>
        <w:pStyle w:val="Normal"/>
        <w:jc w:val="center"/>
        <w:rPr>
          <w:b/>
        </w:rPr>
      </w:pPr>
      <w:r>
        <w:rPr>
          <w:b/>
        </w:rPr>
        <w:t>Figure 2</w:t>
      </w:r>
    </w:p>
    <w:p>
      <w:pPr>
        <w:pStyle w:val="Normal"/>
        <w:jc w:val="center"/>
        <w:rPr/>
      </w:pPr>
      <w:r>
        <w:rPr>
          <w:b/>
        </w:rPr>
        <w:t>Comparison of NO</w:t>
      </w:r>
      <w:r>
        <w:rPr>
          <w:b/>
          <w:vertAlign w:val="subscript"/>
        </w:rPr>
        <w:t>x</w:t>
      </w:r>
      <w:r>
        <w:rPr>
          <w:b/>
        </w:rPr>
        <w:t xml:space="preserve"> Reduction Plans</w:t>
      </w:r>
    </w:p>
    <w:p>
      <w:pPr>
        <w:pStyle w:val="Normal"/>
        <w:rPr>
          <w:b/>
        </w:rPr>
      </w:pPr>
      <w:r>
        <w:rPr>
          <w:b/>
        </w:rPr>
        <w:drawing>
          <wp:anchor behindDoc="0" distT="0" distB="0" distL="114935" distR="114935" simplePos="0" locked="0" layoutInCell="0" allowOverlap="1" relativeHeight="3">
            <wp:simplePos x="0" y="0"/>
            <wp:positionH relativeFrom="column">
              <wp:posOffset>0</wp:posOffset>
            </wp:positionH>
            <wp:positionV relativeFrom="paragraph">
              <wp:posOffset>635</wp:posOffset>
            </wp:positionV>
            <wp:extent cx="5482590" cy="374904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6" r="-4" b="-6"/>
                    <a:stretch>
                      <a:fillRect/>
                    </a:stretch>
                  </pic:blipFill>
                  <pic:spPr bwMode="auto">
                    <a:xfrm>
                      <a:off x="0" y="0"/>
                      <a:ext cx="5482590" cy="3749040"/>
                    </a:xfrm>
                    <a:prstGeom prst="rect">
                      <a:avLst/>
                    </a:prstGeom>
                    <a:noFill/>
                  </pic:spPr>
                </pic:pic>
              </a:graphicData>
            </a:graphic>
          </wp:anchor>
        </w:drawing>
      </w:r>
    </w:p>
    <w:p>
      <w:pPr>
        <w:pStyle w:val="Normal"/>
        <w:rPr/>
      </w:pPr>
      <w:r>
        <w:rPr/>
        <w:t>Mercury</w:t>
      </w:r>
    </w:p>
    <w:p>
      <w:pPr>
        <w:pStyle w:val="Normal"/>
        <w:rPr/>
      </w:pPr>
      <w:r>
        <w:rPr/>
        <w:t xml:space="preserve">Figure 3 compares the various approaches to mercury reduction.  The EPA/Jeffords focus here is on 70 to 90 percent reductions by 2008.  It is also possible that there will ultimately be a hybrid approach with trading plus some unit limits.  An 11 percent per year reduction for the Clean Power Group plan gets to a little more than 50 percent reduction levels by 2008.  This is equal to the CEG plan.  In addition, the Clean Power Group plan calls for the EPA to set maximum emission limits (in lb/MWh) for all generating units for 2008 to eliminate hot spots.  The cap will continue to decline subject to the circuit breaker.  The declining cap would produce over 62 tons of early reduction by 2007.  The circuit breaker would be $35,000/lb.  </w:t>
      </w:r>
    </w:p>
    <w:p>
      <w:pPr>
        <w:pStyle w:val="Normal"/>
        <w:rPr/>
      </w:pPr>
      <w:r>
        <w:rPr/>
      </w:r>
    </w:p>
    <w:p>
      <w:pPr>
        <w:pStyle w:val="Normal"/>
        <w:rPr/>
      </w:pPr>
      <w:r>
        <w:rPr/>
        <w:t>The technology-promoting effect is very important for mercury since the technologies are at an early stage of development.  The gradual phase-in will promote the development of more effective and lower cost mercury removal technology before most units are required to install technology.</w:t>
      </w:r>
    </w:p>
    <w:p>
      <w:pPr>
        <w:pStyle w:val="Normal"/>
        <w:rPr/>
      </w:pPr>
      <w:r>
        <w:rPr/>
      </w:r>
    </w:p>
    <w:p>
      <w:pPr>
        <w:pStyle w:val="Normal"/>
        <w:jc w:val="center"/>
        <w:rPr>
          <w:b/>
        </w:rPr>
      </w:pPr>
      <w:r>
        <w:rPr>
          <w:b/>
        </w:rPr>
        <w:t>Figure 3</w:t>
      </w:r>
    </w:p>
    <w:p>
      <w:pPr>
        <w:pStyle w:val="Normal"/>
        <w:jc w:val="center"/>
        <w:rPr>
          <w:b/>
        </w:rPr>
      </w:pPr>
      <w:r>
        <w:rPr>
          <w:b/>
        </w:rPr>
        <w:t>Comparison of Mercury Reduction Plans</w:t>
      </w:r>
    </w:p>
    <w:p>
      <w:pPr>
        <w:pStyle w:val="eeaopen"/>
        <w:rPr/>
      </w:pPr>
      <w:r>
        <w:rPr/>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5482590" cy="374904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6" r="-4" b="-6"/>
                    <a:stretch>
                      <a:fillRect/>
                    </a:stretch>
                  </pic:blipFill>
                  <pic:spPr bwMode="auto">
                    <a:xfrm>
                      <a:off x="0" y="0"/>
                      <a:ext cx="5482590" cy="3749040"/>
                    </a:xfrm>
                    <a:prstGeom prst="rect">
                      <a:avLst/>
                    </a:prstGeom>
                    <a:noFill/>
                  </pic:spPr>
                </pic:pic>
              </a:graphicData>
            </a:graphic>
          </wp:anchor>
        </w:drawing>
      </w:r>
    </w:p>
    <w:p>
      <w:pPr>
        <w:pStyle w:val="Normal"/>
        <w:rPr/>
      </w:pPr>
      <w:r>
        <w:rPr/>
        <w:t>CO</w:t>
      </w:r>
      <w:r>
        <w:rPr>
          <w:vertAlign w:val="subscript"/>
        </w:rPr>
        <w:t>2</w:t>
      </w:r>
    </w:p>
    <w:p>
      <w:pPr>
        <w:pStyle w:val="Normal"/>
        <w:rPr/>
      </w:pPr>
      <w:r>
        <w:rPr/>
        <w:t>CO</w:t>
      </w:r>
      <w:r>
        <w:rPr>
          <w:vertAlign w:val="subscript"/>
        </w:rPr>
        <w:t>2</w:t>
      </w:r>
      <w:r>
        <w:rPr/>
        <w:t xml:space="preserve"> mitigation is not a required part of the Clean Power Group proposal.  On a three pollutant basis, the CPG plan provides better environmental performance than other proposals, even without NSR, and is a win/win solution on that basis.</w:t>
      </w:r>
    </w:p>
    <w:p>
      <w:pPr>
        <w:pStyle w:val="Normal"/>
        <w:rPr/>
      </w:pPr>
      <w:r>
        <w:rPr/>
      </w:r>
    </w:p>
    <w:p>
      <w:pPr>
        <w:pStyle w:val="Normal"/>
        <w:rPr/>
      </w:pPr>
      <w:r>
        <w:rPr/>
        <w:t>However, if the U.S. does undertake carbon mitigation programs, the Clean Power Group provides significant advantages over other approaches.  CO</w:t>
      </w:r>
      <w:r>
        <w:rPr>
          <w:vertAlign w:val="subscript"/>
        </w:rPr>
        <w:t>2</w:t>
      </w:r>
      <w:r>
        <w:rPr/>
        <w:t xml:space="preserve"> is perhaps the most difficult issue to address, even aside from the political debate.  Unlike the other pollutants, we do not have a clear idea of how we can reach the compliance levels being proposed for the power generation sector.  There is no technology option that is generally agreed to be the solution.  We would need an approach that includes all fuels, new technologies, sequestration, and domestic and international trading programs, among other tools.  The best way to ensure that these systems develop would to start applying them very gradually so that we can get real experience in a low risk environment.  While many are loathe to begin the process, waiting simply increases the severity of the disruption if and when a future commitment takes effect before the kinks are worked out and the full range of options is available.</w:t>
      </w:r>
    </w:p>
    <w:p>
      <w:pPr>
        <w:pStyle w:val="Normal"/>
        <w:rPr/>
      </w:pPr>
      <w:r>
        <w:rPr/>
        <w:t>If the U.S. commits to a CO</w:t>
      </w:r>
      <w:r>
        <w:rPr>
          <w:vertAlign w:val="subscript"/>
        </w:rPr>
        <w:t>2</w:t>
      </w:r>
      <w:r>
        <w:rPr/>
        <w:t xml:space="preserve"> mitigation plan, the Clean Power Group approach would provide critical advantages over alternative approaches.  The gradual phase-in of the reductions will be needed to drive the development of the new, as yet unidentified technologies that will be needed to comply without disruptions to the economy and lifestyles.  The circuit breaker will be needed to reduce the economic risk and to ensure that the reductions properly follow technology and market response.  It is very important to start the process as soon as possible in order to drive the development of new technologies.  At the same time, it must be gradual enough to allow a reasonable response.  </w:t>
      </w:r>
    </w:p>
    <w:p>
      <w:pPr>
        <w:pStyle w:val="Normal"/>
        <w:rPr/>
      </w:pPr>
      <w:r>
        <w:rPr/>
      </w:r>
    </w:p>
    <w:p>
      <w:pPr>
        <w:pStyle w:val="Normal"/>
        <w:rPr/>
      </w:pPr>
      <w:r>
        <w:rPr/>
        <w:t>The Clean Power Group would suggest a two-phase approach as illustrated in Figure 4.  Starting in 2003, a cap would be set as a very small reduction from forecasted CO</w:t>
      </w:r>
      <w:r>
        <w:rPr>
          <w:vertAlign w:val="subscript"/>
        </w:rPr>
        <w:t>2</w:t>
      </w:r>
      <w:r>
        <w:rPr/>
        <w:t xml:space="preserve"> growth.  This would not trigger major reductions, but it would allow the trading market to be established and provide a real economic driver for development of CO</w:t>
      </w:r>
      <w:r>
        <w:rPr>
          <w:vertAlign w:val="subscript"/>
        </w:rPr>
        <w:t>2</w:t>
      </w:r>
      <w:r>
        <w:rPr/>
        <w:t xml:space="preserve"> mitigation and removal technologies.  It would also allow the establishment of accurate price signals in the market without triggering economic disruption.  A declining cap would kick in at 2 percent per year starting in 2007.  This would provide the real driver for reductions but with the circuit breaker as a safety value that would slow the decline if it were too rapid.  Sequestration and domestic and international emission trading would be allowed as compliance options.  </w:t>
      </w:r>
    </w:p>
    <w:p>
      <w:pPr>
        <w:pStyle w:val="Normal"/>
        <w:rPr/>
      </w:pPr>
      <w:r>
        <w:rPr/>
      </w:r>
    </w:p>
    <w:p>
      <w:pPr>
        <w:pStyle w:val="Normal"/>
        <w:jc w:val="center"/>
        <w:rPr>
          <w:b/>
        </w:rPr>
      </w:pPr>
      <w:r>
        <w:rPr>
          <w:b/>
        </w:rPr>
        <w:t>Figure 4</w:t>
      </w:r>
    </w:p>
    <w:p>
      <w:pPr>
        <w:pStyle w:val="Normal"/>
        <w:jc w:val="center"/>
        <w:rPr/>
      </w:pPr>
      <w:r>
        <w:rPr>
          <w:b/>
        </w:rPr>
        <w:t>Comparison of CO</w:t>
      </w:r>
      <w:r>
        <w:rPr>
          <w:b/>
          <w:vertAlign w:val="subscript"/>
        </w:rPr>
        <w:t>2</w:t>
      </w:r>
      <w:r>
        <w:rPr>
          <w:b/>
        </w:rPr>
        <w:t xml:space="preserve"> Reduction Plans</w:t>
      </w:r>
    </w:p>
    <w:p>
      <w:pPr>
        <w:pStyle w:val="Normal"/>
        <w:rPr/>
      </w:pPr>
      <w:r>
        <w:rPr/>
        <w:drawing>
          <wp:anchor behindDoc="0" distT="0" distB="0" distL="114935" distR="114935" simplePos="0" locked="0" layoutInCell="0" allowOverlap="1" relativeHeight="5">
            <wp:simplePos x="0" y="0"/>
            <wp:positionH relativeFrom="column">
              <wp:posOffset>0</wp:posOffset>
            </wp:positionH>
            <wp:positionV relativeFrom="paragraph">
              <wp:posOffset>635</wp:posOffset>
            </wp:positionV>
            <wp:extent cx="5482590" cy="3749040"/>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4" t="-6" r="-4" b="-6"/>
                    <a:stretch>
                      <a:fillRect/>
                    </a:stretch>
                  </pic:blipFill>
                  <pic:spPr bwMode="auto">
                    <a:xfrm>
                      <a:off x="0" y="0"/>
                      <a:ext cx="5482590" cy="3749040"/>
                    </a:xfrm>
                    <a:prstGeom prst="rect">
                      <a:avLst/>
                    </a:prstGeom>
                    <a:noFill/>
                  </pic:spPr>
                </pic:pic>
              </a:graphicData>
            </a:graphic>
          </wp:anchor>
        </w:drawing>
      </w:r>
    </w:p>
    <w:p>
      <w:pPr>
        <w:pStyle w:val="Normal"/>
        <w:rPr/>
      </w:pPr>
      <w:r>
        <w:rPr/>
        <w:t>The circuit breaker would be calculated from the electricity price impact based on acceptable price impact.  For example, a cost of $0.005/kWh is not insignificant as a cost for CO</w:t>
      </w:r>
      <w:r>
        <w:rPr>
          <w:vertAlign w:val="subscript"/>
        </w:rPr>
        <w:t>2</w:t>
      </w:r>
      <w:r>
        <w:rPr/>
        <w:t xml:space="preserve"> mitigation, but it would not create dislocations in the economy, would not cause major fuel switching or create competitive changes in the industry.  And it would provide enough economic value to drive the development of new technology.  As an example, that would equate to about $5/ton CO</w:t>
      </w:r>
      <w:r>
        <w:rPr>
          <w:vertAlign w:val="subscript"/>
        </w:rPr>
        <w:t>2</w:t>
      </w:r>
      <w:r>
        <w:rPr/>
        <w:t xml:space="preserve"> as a circuit breaker.</w:t>
      </w:r>
    </w:p>
    <w:p>
      <w:pPr>
        <w:pStyle w:val="Normal"/>
        <w:rPr/>
      </w:pPr>
      <w:r>
        <w:rPr/>
      </w:r>
    </w:p>
    <w:p>
      <w:pPr>
        <w:pStyle w:val="Normal"/>
        <w:rPr/>
      </w:pPr>
      <w:r>
        <w:rPr/>
      </w:r>
    </w:p>
    <w:p>
      <w:pPr>
        <w:pStyle w:val="Normal"/>
        <w:rPr>
          <w:b/>
        </w:rPr>
      </w:pPr>
      <w:r>
        <w:rPr>
          <w:b/>
        </w:rPr>
        <w:t>Conclusions</w:t>
      </w:r>
    </w:p>
    <w:p>
      <w:pPr>
        <w:pStyle w:val="Normal"/>
        <w:rPr/>
      </w:pPr>
      <w:r>
        <w:rPr/>
        <w:t>The key parameters of the Clean Power Group declining caps are summarized in Table 2.  The declining cap trajectories reach similar levels as other proposed plans at the implementation dates for those plans.  In addition, they offer substantial early reductions and greater continuing reductions.  The declining caps also promote new technology.  The emissions under the declining cap, without NSR, are lower than the emissions under the other programs with traditional NSR or a less reformed NSR.  The declining cap approach provides better environmental performance, lower cost, less regulatory overhead and better development of new technologies using all fuels.</w:t>
      </w:r>
    </w:p>
    <w:p>
      <w:pPr>
        <w:pStyle w:val="Normal"/>
        <w:rPr/>
      </w:pPr>
      <w:r>
        <w:rPr/>
      </w:r>
    </w:p>
    <w:p>
      <w:pPr>
        <w:pStyle w:val="Normal"/>
        <w:rPr/>
      </w:pPr>
      <w:r>
        <w:rPr/>
      </w:r>
    </w:p>
    <w:p>
      <w:pPr>
        <w:pStyle w:val="Normal"/>
        <w:jc w:val="center"/>
        <w:rPr>
          <w:b/>
        </w:rPr>
      </w:pPr>
      <w:r>
        <w:rPr>
          <w:b/>
        </w:rPr>
        <w:t>Table 2</w:t>
      </w:r>
    </w:p>
    <w:p>
      <w:pPr>
        <w:pStyle w:val="Normal"/>
        <w:jc w:val="center"/>
        <w:rPr/>
      </w:pPr>
      <w:r>
        <w:rPr/>
        <w:t>Summary of Declining Cap Parameters</w:t>
      </w:r>
    </w:p>
    <w:tbl>
      <w:tblPr>
        <w:tblW w:w="6596" w:type="dxa"/>
        <w:jc w:val="center"/>
        <w:tblInd w:w="0" w:type="dxa"/>
        <w:tblLayout w:type="fixed"/>
        <w:tblCellMar>
          <w:top w:w="0" w:type="dxa"/>
          <w:start w:w="108" w:type="dxa"/>
          <w:bottom w:w="0" w:type="dxa"/>
          <w:end w:w="108" w:type="dxa"/>
        </w:tblCellMar>
      </w:tblPr>
      <w:tblGrid>
        <w:gridCol w:w="1163"/>
        <w:gridCol w:w="1811"/>
        <w:gridCol w:w="1811"/>
        <w:gridCol w:w="1811"/>
      </w:tblGrid>
      <w:tr>
        <w:trPr/>
        <w:tc>
          <w:tcPr>
            <w:tcW w:w="1163" w:type="dxa"/>
            <w:tcBorders>
              <w:top w:val="single" w:sz="12" w:space="0" w:color="008000"/>
              <w:bottom w:val="single" w:sz="6" w:space="0" w:color="008000"/>
            </w:tcBorders>
          </w:tcPr>
          <w:p>
            <w:pPr>
              <w:pStyle w:val="Normal"/>
              <w:snapToGrid w:val="false"/>
              <w:rPr/>
            </w:pPr>
            <w:r>
              <w:rPr/>
            </w:r>
          </w:p>
        </w:tc>
        <w:tc>
          <w:tcPr>
            <w:tcW w:w="1811" w:type="dxa"/>
            <w:tcBorders>
              <w:top w:val="single" w:sz="12" w:space="0" w:color="008000"/>
              <w:bottom w:val="single" w:sz="6" w:space="0" w:color="008000"/>
            </w:tcBorders>
          </w:tcPr>
          <w:p>
            <w:pPr>
              <w:pStyle w:val="Normal"/>
              <w:jc w:val="center"/>
              <w:rPr/>
            </w:pPr>
            <w:r>
              <w:rPr/>
              <w:t>Starting Level</w:t>
            </w:r>
          </w:p>
        </w:tc>
        <w:tc>
          <w:tcPr>
            <w:tcW w:w="1811" w:type="dxa"/>
            <w:tcBorders>
              <w:top w:val="single" w:sz="12" w:space="0" w:color="008000"/>
              <w:bottom w:val="single" w:sz="6" w:space="0" w:color="008000"/>
            </w:tcBorders>
          </w:tcPr>
          <w:p>
            <w:pPr>
              <w:pStyle w:val="Normal"/>
              <w:jc w:val="center"/>
              <w:rPr/>
            </w:pPr>
            <w:r>
              <w:rPr/>
              <w:t>Reduction</w:t>
            </w:r>
          </w:p>
          <w:p>
            <w:pPr>
              <w:pStyle w:val="Normal"/>
              <w:jc w:val="center"/>
              <w:rPr/>
            </w:pPr>
            <w:r>
              <w:rPr/>
              <w:t>(%/year)</w:t>
            </w:r>
          </w:p>
        </w:tc>
        <w:tc>
          <w:tcPr>
            <w:tcW w:w="1811" w:type="dxa"/>
            <w:tcBorders>
              <w:top w:val="single" w:sz="12" w:space="0" w:color="008000"/>
              <w:bottom w:val="single" w:sz="6" w:space="0" w:color="008000"/>
            </w:tcBorders>
          </w:tcPr>
          <w:p>
            <w:pPr>
              <w:pStyle w:val="Normal"/>
              <w:jc w:val="center"/>
              <w:rPr/>
            </w:pPr>
            <w:r>
              <w:rPr/>
              <w:t>Circuit Breaker</w:t>
            </w:r>
          </w:p>
          <w:p>
            <w:pPr>
              <w:pStyle w:val="Normal"/>
              <w:jc w:val="center"/>
              <w:rPr/>
            </w:pPr>
            <w:r>
              <w:rPr/>
              <w:t>($/ton)</w:t>
            </w:r>
          </w:p>
        </w:tc>
      </w:tr>
      <w:tr>
        <w:trPr/>
        <w:tc>
          <w:tcPr>
            <w:tcW w:w="1163" w:type="dxa"/>
            <w:tcBorders/>
          </w:tcPr>
          <w:p>
            <w:pPr>
              <w:pStyle w:val="Normal"/>
              <w:rPr/>
            </w:pPr>
            <w:r>
              <w:rPr/>
              <w:t>SO</w:t>
            </w:r>
            <w:r>
              <w:rPr>
                <w:vertAlign w:val="subscript"/>
              </w:rPr>
              <w:t>2</w:t>
            </w:r>
            <w:r>
              <w:rPr/>
              <w:t xml:space="preserve"> </w:t>
            </w:r>
          </w:p>
        </w:tc>
        <w:tc>
          <w:tcPr>
            <w:tcW w:w="1811" w:type="dxa"/>
            <w:tcBorders/>
          </w:tcPr>
          <w:p>
            <w:pPr>
              <w:pStyle w:val="Normal"/>
              <w:jc w:val="center"/>
              <w:rPr/>
            </w:pPr>
            <w:r>
              <w:rPr/>
              <w:t>9.5 MMtons</w:t>
            </w:r>
          </w:p>
        </w:tc>
        <w:tc>
          <w:tcPr>
            <w:tcW w:w="1811" w:type="dxa"/>
            <w:tcBorders/>
          </w:tcPr>
          <w:p>
            <w:pPr>
              <w:pStyle w:val="Normal"/>
              <w:jc w:val="center"/>
              <w:rPr/>
            </w:pPr>
            <w:r>
              <w:rPr/>
              <w:t>10%</w:t>
            </w:r>
          </w:p>
        </w:tc>
        <w:tc>
          <w:tcPr>
            <w:tcW w:w="1811" w:type="dxa"/>
            <w:tcBorders/>
          </w:tcPr>
          <w:p>
            <w:pPr>
              <w:pStyle w:val="Normal"/>
              <w:jc w:val="center"/>
              <w:rPr/>
            </w:pPr>
            <w:r>
              <w:rPr/>
              <w:t>$600</w:t>
            </w:r>
          </w:p>
        </w:tc>
      </w:tr>
      <w:tr>
        <w:trPr/>
        <w:tc>
          <w:tcPr>
            <w:tcW w:w="1163" w:type="dxa"/>
            <w:tcBorders/>
          </w:tcPr>
          <w:p>
            <w:pPr>
              <w:pStyle w:val="Normal"/>
              <w:rPr/>
            </w:pPr>
            <w:r>
              <w:rPr/>
              <w:t>NO</w:t>
            </w:r>
            <w:r>
              <w:rPr>
                <w:vertAlign w:val="subscript"/>
              </w:rPr>
              <w:t>x</w:t>
            </w:r>
          </w:p>
        </w:tc>
        <w:tc>
          <w:tcPr>
            <w:tcW w:w="1811" w:type="dxa"/>
            <w:tcBorders/>
          </w:tcPr>
          <w:p>
            <w:pPr>
              <w:pStyle w:val="Normal"/>
              <w:jc w:val="center"/>
              <w:rPr/>
            </w:pPr>
            <w:r>
              <w:rPr/>
              <w:t>5.5 MMtons</w:t>
            </w:r>
          </w:p>
        </w:tc>
        <w:tc>
          <w:tcPr>
            <w:tcW w:w="1811" w:type="dxa"/>
            <w:tcBorders/>
          </w:tcPr>
          <w:p>
            <w:pPr>
              <w:pStyle w:val="Normal"/>
              <w:jc w:val="center"/>
              <w:rPr/>
            </w:pPr>
            <w:r>
              <w:rPr/>
              <w:t>12%</w:t>
            </w:r>
          </w:p>
        </w:tc>
        <w:tc>
          <w:tcPr>
            <w:tcW w:w="1811" w:type="dxa"/>
            <w:tcBorders/>
          </w:tcPr>
          <w:p>
            <w:pPr>
              <w:pStyle w:val="Normal"/>
              <w:jc w:val="center"/>
              <w:rPr/>
            </w:pPr>
            <w:r>
              <w:rPr/>
              <w:t>$3,000</w:t>
            </w:r>
          </w:p>
        </w:tc>
      </w:tr>
      <w:tr>
        <w:trPr/>
        <w:tc>
          <w:tcPr>
            <w:tcW w:w="1163" w:type="dxa"/>
            <w:tcBorders/>
          </w:tcPr>
          <w:p>
            <w:pPr>
              <w:pStyle w:val="Normal"/>
              <w:rPr/>
            </w:pPr>
            <w:r>
              <w:rPr/>
              <w:t>Mercury</w:t>
            </w:r>
          </w:p>
        </w:tc>
        <w:tc>
          <w:tcPr>
            <w:tcW w:w="1811" w:type="dxa"/>
            <w:tcBorders/>
          </w:tcPr>
          <w:p>
            <w:pPr>
              <w:pStyle w:val="Normal"/>
              <w:jc w:val="center"/>
              <w:rPr/>
            </w:pPr>
            <w:r>
              <w:rPr/>
              <w:t>43 tons</w:t>
            </w:r>
          </w:p>
        </w:tc>
        <w:tc>
          <w:tcPr>
            <w:tcW w:w="1811" w:type="dxa"/>
            <w:tcBorders/>
          </w:tcPr>
          <w:p>
            <w:pPr>
              <w:pStyle w:val="Normal"/>
              <w:jc w:val="center"/>
              <w:rPr/>
            </w:pPr>
            <w:r>
              <w:rPr/>
              <w:t>11%</w:t>
            </w:r>
          </w:p>
        </w:tc>
        <w:tc>
          <w:tcPr>
            <w:tcW w:w="1811" w:type="dxa"/>
            <w:tcBorders/>
          </w:tcPr>
          <w:p>
            <w:pPr>
              <w:pStyle w:val="Normal"/>
              <w:jc w:val="center"/>
              <w:rPr/>
            </w:pPr>
            <w:r>
              <w:rPr/>
              <w:t>$35,000</w:t>
            </w:r>
          </w:p>
        </w:tc>
      </w:tr>
      <w:tr>
        <w:trPr/>
        <w:tc>
          <w:tcPr>
            <w:tcW w:w="1163" w:type="dxa"/>
            <w:tcBorders>
              <w:bottom w:val="single" w:sz="12" w:space="0" w:color="008000"/>
            </w:tcBorders>
          </w:tcPr>
          <w:p>
            <w:pPr>
              <w:pStyle w:val="Normal"/>
              <w:rPr/>
            </w:pPr>
            <w:r>
              <w:rPr/>
              <w:t>CO</w:t>
            </w:r>
            <w:r>
              <w:rPr>
                <w:vertAlign w:val="subscript"/>
              </w:rPr>
              <w:t>2</w:t>
            </w:r>
          </w:p>
        </w:tc>
        <w:tc>
          <w:tcPr>
            <w:tcW w:w="1811" w:type="dxa"/>
            <w:tcBorders>
              <w:bottom w:val="single" w:sz="12" w:space="0" w:color="008000"/>
            </w:tcBorders>
          </w:tcPr>
          <w:p>
            <w:pPr>
              <w:pStyle w:val="Normal"/>
              <w:jc w:val="center"/>
              <w:rPr/>
            </w:pPr>
            <w:r>
              <w:rPr/>
              <w:t>2,453 MMtons</w:t>
            </w:r>
          </w:p>
        </w:tc>
        <w:tc>
          <w:tcPr>
            <w:tcW w:w="1811" w:type="dxa"/>
            <w:tcBorders>
              <w:bottom w:val="single" w:sz="12" w:space="0" w:color="008000"/>
            </w:tcBorders>
          </w:tcPr>
          <w:p>
            <w:pPr>
              <w:pStyle w:val="Normal"/>
              <w:jc w:val="center"/>
              <w:rPr/>
            </w:pPr>
            <w:r>
              <w:rPr/>
              <w:t>2% from 2006</w:t>
            </w:r>
          </w:p>
        </w:tc>
        <w:tc>
          <w:tcPr>
            <w:tcW w:w="1811" w:type="dxa"/>
            <w:tcBorders>
              <w:bottom w:val="single" w:sz="12" w:space="0" w:color="008000"/>
            </w:tcBorders>
          </w:tcPr>
          <w:p>
            <w:pPr>
              <w:pStyle w:val="Normal"/>
              <w:jc w:val="center"/>
              <w:rPr/>
            </w:pPr>
            <w:r>
              <w:rPr/>
              <w:t>$5</w:t>
            </w:r>
          </w:p>
        </w:tc>
      </w:tr>
    </w:tbl>
    <w:p>
      <w:pPr>
        <w:pStyle w:val="Normal"/>
        <w:rPr/>
      </w:pPr>
      <w:r>
        <w:rPr/>
      </w:r>
    </w:p>
    <w:p>
      <w:pPr>
        <w:pStyle w:val="Normal"/>
        <w:rPr/>
      </w:pPr>
      <w:r>
        <w:rPr/>
      </w:r>
    </w:p>
    <w:p>
      <w:pPr>
        <w:pStyle w:val="Normal"/>
        <w:rPr/>
      </w:pPr>
      <w:r>
        <w:rPr/>
      </w:r>
    </w:p>
    <w:sectPr>
      <w:footnotePr>
        <w:numFmt w:val="decimal"/>
        <w:numRestart w:val="eachPage"/>
      </w:footnotePr>
      <w:type w:val="nextPage"/>
      <w:pgSz w:w="12240" w:h="15840"/>
      <w:pgMar w:left="1440" w:right="1440" w:gutter="0" w:header="0" w:top="2160" w:footer="0" w:bottom="15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SO</w:t>
      </w:r>
      <w:r>
        <w:rPr>
          <w:vertAlign w:val="subscript"/>
        </w:rPr>
        <w:t>2</w:t>
      </w:r>
      <w:r>
        <w:rPr/>
        <w:t xml:space="preserve"> emissions under the current phase of the acid rain program are nominally limited to about 9 MMtons per year but there are a lot of allowances banked from Phase I that are being used to cover emissions above the cap level.</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72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footnotePr>
    <w:numFmt w:val="decimal"/>
    <w:numRestart w:val="eachPage"/>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WW8Num2z0">
    <w:name w:val="WW8Num2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720"/>
        <w:tab w:val="left" w:pos="-720" w:leader="none"/>
      </w:tabs>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eaopen">
    <w:name w:val="eea open"/>
    <w:basedOn w:val="Normal"/>
    <w:qFormat/>
    <w:pPr/>
    <w:rPr/>
  </w:style>
  <w:style w:type="paragraph" w:styleId="EEAHead1">
    <w:name w:val="EEAHead1"/>
    <w:basedOn w:val="Normal"/>
    <w:qFormat/>
    <w:pPr>
      <w:tabs>
        <w:tab w:val="left" w:pos="720" w:leader="none"/>
      </w:tabs>
      <w:spacing w:lineRule="auto" w:line="240" w:before="0" w:after="120"/>
    </w:pPr>
    <w:rPr>
      <w:b/>
      <w:caps/>
    </w:rPr>
  </w:style>
  <w:style w:type="paragraph" w:styleId="EEAHead2">
    <w:name w:val="EEAHead2"/>
    <w:basedOn w:val="EEAHead1"/>
    <w:qFormat/>
    <w:pPr/>
    <w:rPr>
      <w:caps w:val="false"/>
      <w:smallCaps w:val="false"/>
    </w:rPr>
  </w:style>
  <w:style w:type="paragraph" w:styleId="Bullet1">
    <w:name w:val="Bullet #1"/>
    <w:basedOn w:val="Normal"/>
    <w:qFormat/>
    <w:pPr>
      <w:widowControl/>
      <w:numPr>
        <w:ilvl w:val="0"/>
        <w:numId w:val="3"/>
      </w:numPr>
      <w:spacing w:before="0" w:after="120"/>
      <w:ind w:hanging="360" w:start="720" w:end="0"/>
    </w:pPr>
    <w:rPr>
      <w:rFonts w:ascii="Times New Roman" w:hAnsi="Times New Roman" w:cs="Times New Roman"/>
      <w:sz w:val="24"/>
    </w:rPr>
  </w:style>
  <w:style w:type="paragraph" w:styleId="Bullet2">
    <w:name w:val="Bullet #2"/>
    <w:basedOn w:val="Bullet1"/>
    <w:qFormat/>
    <w:pPr>
      <w:numPr>
        <w:ilvl w:val="0"/>
        <w:numId w:val="4"/>
      </w:numPr>
      <w:ind w:hanging="360" w:start="1080" w:end="0"/>
    </w:pPr>
    <w:rPr/>
  </w:style>
  <w:style w:type="paragraph" w:styleId="Bullet3">
    <w:name w:val="Bullet #3"/>
    <w:basedOn w:val="Bullet2"/>
    <w:qFormat/>
    <w:pPr>
      <w:numPr>
        <w:ilvl w:val="0"/>
        <w:numId w:val="5"/>
      </w:numPr>
      <w:ind w:hanging="360" w:start="1440" w:end="0"/>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 LTRHD</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2001-07-30T22:45:00Z</dcterms:created>
  <dc:creator>Joel Bluestein</dc:creator>
  <dc:description/>
  <dc:language>en-CA</dc:language>
  <cp:lastModifiedBy>jkeeler</cp:lastModifiedBy>
  <cp:lastPrinted>2001-07-31T09:13:00Z</cp:lastPrinted>
  <dcterms:modified xsi:type="dcterms:W3CDTF">2001-08-09T14:52:00Z</dcterms:modified>
  <cp:revision>11</cp:revision>
  <dc:subject/>
  <dc:title>ENERGY AND ENVIRONMENTAL ANALYSIS, INC</dc:title>
</cp:coreProperties>
</file>