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b/>
        </w:rPr>
      </w:pPr>
      <w:r>
        <w:rPr>
          <w:b/>
        </w:rPr>
        <w:t>The Clean Power Group’s</w:t>
      </w:r>
    </w:p>
    <w:p>
      <w:pPr>
        <w:pStyle w:val="Normal"/>
        <w:spacing w:lineRule="auto" w:line="240"/>
        <w:jc w:val="center"/>
        <w:rPr>
          <w:b/>
        </w:rPr>
      </w:pPr>
      <w:r>
        <w:rPr>
          <w:b/>
        </w:rPr>
        <w:t>Declining Cap/Circuit Breaker Approach</w:t>
      </w:r>
    </w:p>
    <w:p>
      <w:pPr>
        <w:pStyle w:val="Normal"/>
        <w:spacing w:lineRule="auto" w:line="240"/>
        <w:rPr>
          <w:b/>
        </w:rPr>
      </w:pPr>
      <w:r>
        <w:rPr>
          <w:b/>
        </w:rPr>
      </w:r>
    </w:p>
    <w:p>
      <w:pPr>
        <w:pStyle w:val="Normal"/>
        <w:spacing w:lineRule="auto" w:line="240"/>
        <w:rPr/>
      </w:pPr>
      <w:r>
        <w:rPr/>
        <w:t xml:space="preserve">The Clean Power Group approach builds on many of the concepts of current cap and trade programs while replacing some outmoded aspects of existing environmental regulation and incorporating components to encourage new technologies, efficiency and pollution prevention.  The proposed approach is a multipollutant cap and trade approach.  A cap is set for each </w:t>
      </w:r>
    </w:p>
    <w:p>
      <w:pPr>
        <w:pStyle w:val="Normal"/>
        <w:spacing w:lineRule="auto" w:line="240"/>
        <w:rPr/>
      </w:pPr>
      <w:r>
        <w:rPr/>
        <w:t>pollutant and each cap declines continuously at a preset rate, say 10 percent per year.  The approach could be applied to three for four pollutants.</w:t>
      </w:r>
    </w:p>
    <w:p>
      <w:pPr>
        <w:pStyle w:val="Normal"/>
        <w:spacing w:lineRule="auto" w:line="240"/>
        <w:rPr/>
      </w:pPr>
      <w:r>
        <w:rPr/>
      </w:r>
    </w:p>
    <w:p>
      <w:pPr>
        <w:pStyle w:val="Normal"/>
        <w:spacing w:lineRule="auto" w:line="240"/>
        <w:rPr/>
      </w:pPr>
      <w:r>
        <w:rPr/>
        <w:t>Figure 1 shows a hypothetical example for SO</w:t>
      </w:r>
      <w:r>
        <w:rPr>
          <w:vertAlign w:val="subscript"/>
        </w:rPr>
        <w:t>2</w:t>
      </w:r>
      <w:r>
        <w:rPr/>
        <w:t xml:space="preserve"> emissions.  The solid blocks show the commonly proposed multipollutant approach in which reductions take place in large cuts.  These "over the cliff" reductions are very disruptive to mechanical and economic systems.  It is difficult for many sources to comply at the same time and the result is labor and equipment constraints, which then cause problems in energy markets as well as compliance problems.  At these discontinuities, the emission trading markets that are supposed to help the sources weather the change also become disrupted and are of little value.</w:t>
      </w:r>
    </w:p>
    <w:p>
      <w:pPr>
        <w:pStyle w:val="Normal"/>
        <w:spacing w:lineRule="auto" w:line="240"/>
        <w:rPr/>
      </w:pPr>
      <w:r>
        <w:rPr/>
      </w:r>
    </w:p>
    <w:p>
      <w:pPr>
        <w:pStyle w:val="Normal"/>
        <w:spacing w:lineRule="auto" w:line="240"/>
        <w:jc w:val="center"/>
        <w:rPr>
          <w:b/>
        </w:rPr>
      </w:pPr>
      <w:r>
        <w:rPr>
          <w:b/>
        </w:rPr>
        <w:t xml:space="preserve">Figure 1 </w:t>
      </w:r>
    </w:p>
    <w:p>
      <w:pPr>
        <w:pStyle w:val="Normal"/>
        <w:spacing w:lineRule="auto" w:line="240"/>
        <w:jc w:val="center"/>
        <w:rPr/>
      </w:pPr>
      <w:r>
        <w:drawing>
          <wp:anchor behindDoc="0" distT="0" distB="0" distL="114935" distR="114935" simplePos="0" locked="0" layoutInCell="0" allowOverlap="1" relativeHeight="3">
            <wp:simplePos x="0" y="0"/>
            <wp:positionH relativeFrom="column">
              <wp:posOffset>182880</wp:posOffset>
            </wp:positionH>
            <wp:positionV relativeFrom="paragraph">
              <wp:posOffset>220980</wp:posOffset>
            </wp:positionV>
            <wp:extent cx="5481320" cy="37496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5481320" cy="3749675"/>
                    </a:xfrm>
                    <a:prstGeom prst="rect">
                      <a:avLst/>
                    </a:prstGeom>
                    <a:noFill/>
                  </pic:spPr>
                </pic:pic>
              </a:graphicData>
            </a:graphic>
          </wp:anchor>
        </w:drawing>
      </w:r>
      <w:r>
        <w:rPr>
          <w:b/>
        </w:rPr>
        <w:t>Example of Declining Cap for SO</w:t>
      </w:r>
      <w:r>
        <w:rPr>
          <w:b/>
          <w:vertAlign w:val="subscript"/>
        </w:rPr>
        <w:t>2</w:t>
      </w:r>
    </w:p>
    <w:p>
      <w:pPr>
        <w:pStyle w:val="Normal"/>
        <w:spacing w:lineRule="auto" w:line="240"/>
        <w:rPr/>
      </w:pPr>
      <w:r>
        <w:rPr/>
        <w:t>The glideslope approach allows compliance to take place gradually.  The lowest cost reductions are made first and "shared" around the sector through emission trading.  Compliance installations can be made gradually and the vendors can gear up for the demand.  Emissions markets are established early and can provide accurate price signals to all involved.  Not least of all, emission reductions are made earlier than under the "cliff" approach.</w:t>
      </w:r>
    </w:p>
    <w:p>
      <w:pPr>
        <w:pStyle w:val="Normal"/>
        <w:spacing w:lineRule="auto" w:line="240"/>
        <w:rPr/>
      </w:pPr>
      <w:r>
        <w:rPr/>
      </w:r>
    </w:p>
    <w:p>
      <w:pPr>
        <w:pStyle w:val="Normal"/>
        <w:spacing w:lineRule="auto" w:line="240"/>
        <w:rPr/>
      </w:pPr>
      <w:r>
        <w:rPr/>
        <w:t xml:space="preserve">Perhaps the most important effect, however is the effect on technology development.  The U.S. experience in every pollution control program ever instituted has been that the cost of control has been less than estimated in advance.  This has been due to the decreasing cost of technology, the development of better technology, and other market factors (such as railroad industry changes affecting the cost of low sulfur coal) that were not even considered in the pre-regulation analysis.  </w:t>
      </w:r>
    </w:p>
    <w:p>
      <w:pPr>
        <w:pStyle w:val="Normal"/>
        <w:spacing w:lineRule="auto" w:line="240"/>
        <w:rPr/>
      </w:pPr>
      <w:r>
        <w:rPr/>
      </w:r>
    </w:p>
    <w:p>
      <w:pPr>
        <w:pStyle w:val="Normal"/>
        <w:spacing w:lineRule="auto" w:line="240"/>
        <w:rPr/>
      </w:pPr>
      <w:r>
        <w:rPr/>
        <w:t>The continuously declining cap approach takes advantage of this effect.  By instituting a known glideslope, it provides an economic driver for new technology to be developed and brought to market and it allows time for the technology to be implemented.  The expectation therefore is that the cost of control will continue to decline.  For this reason, there is no predetermined limit to the level of emission reductions.  The cap continues to decline as long as reductions can be made within a preset cost critierion (discussed below).  If history is any guide, we will be able to ride this technology curve to emission levels well below those we would dare to predict today.</w:t>
      </w:r>
    </w:p>
    <w:p>
      <w:pPr>
        <w:pStyle w:val="Normal"/>
        <w:spacing w:lineRule="auto" w:line="240"/>
        <w:rPr/>
      </w:pPr>
      <w:r>
        <w:rPr/>
      </w:r>
    </w:p>
    <w:p>
      <w:pPr>
        <w:pStyle w:val="Normal"/>
        <w:spacing w:lineRule="auto" w:line="240"/>
        <w:rPr/>
      </w:pPr>
      <w:r>
        <w:rPr/>
        <w:t xml:space="preserve">The other critical advantage is that the source of potential improvement is broadened by including all sources of generation.  Unlike current emission trading programs, which include and provide allowance allocations only to old fossil generators, this program would allocate allowances on an output basis to </w:t>
      </w:r>
      <w:r>
        <w:rPr>
          <w:u w:val="single"/>
        </w:rPr>
        <w:t>all</w:t>
      </w:r>
      <w:r>
        <w:rPr/>
        <w:t xml:space="preserve"> electric generators including new clean generators and renewables.  Equal allocation to new generators is critical to support the development and commercialization of new technologies of all fuel types.  The system would also provide allocations to end-use efficiency projects on an equal basis to generation projects.  A project that reduced consumption by 10,000 MWh would get the same allowance allocation as a project that generated 10,000 MWh.  Allocations would also be included for the full thermal plus electric output of CHP facilities.  Thus the market forces would encourage technology improvements on all technology fronts and on all pollutants at once.</w:t>
      </w:r>
    </w:p>
    <w:p>
      <w:pPr>
        <w:pStyle w:val="Normal"/>
        <w:spacing w:lineRule="auto" w:line="240"/>
        <w:rPr/>
      </w:pPr>
      <w:r>
        <w:rPr/>
      </w:r>
    </w:p>
    <w:p>
      <w:pPr>
        <w:pStyle w:val="Normal"/>
        <w:spacing w:lineRule="auto" w:line="240"/>
        <w:rPr/>
      </w:pPr>
      <w:r>
        <w:rPr/>
        <w:t>For sources in the program the declining cap would replace the existing command and control new source permitting requirements (BACT/LAER).  In the first place, these requirements do not provide environmental value for sources that are under a cap.  Incremental emission reductions under an emission cap simply get shifted to be emitted somewhere else under a cap.  Moreover, the continuously declining cap provides the driver for continuing reductions in the sector overall without prescriptive technology requirements.  It does so more effectively and cost effectively than the existing new source review system, which is not doing a good job.  One of the first things that the proposed approach does is reduce emissions from "grandfathered" plants since they are typically the lowest cost reductions available and will be "squeezed" out of the cap first.</w:t>
      </w:r>
    </w:p>
    <w:p>
      <w:pPr>
        <w:pStyle w:val="Normal"/>
        <w:spacing w:lineRule="auto" w:line="240"/>
        <w:rPr/>
      </w:pPr>
      <w:r>
        <w:rPr/>
      </w:r>
    </w:p>
    <w:p>
      <w:pPr>
        <w:pStyle w:val="Normal"/>
        <w:spacing w:lineRule="auto" w:line="240"/>
        <w:rPr/>
      </w:pPr>
      <w:r>
        <w:rPr/>
        <w:t>Some control requirements (new source performance standards) will be maintained as a safeguard.  Review of local impacts and maintenance of the National Ambient Air Quality Standards will also be required to prevent local "hot spots".</w:t>
      </w:r>
    </w:p>
    <w:p>
      <w:pPr>
        <w:pStyle w:val="Normal"/>
        <w:spacing w:lineRule="auto" w:line="240"/>
        <w:rPr/>
      </w:pPr>
      <w:r>
        <w:rPr/>
      </w:r>
    </w:p>
    <w:p>
      <w:pPr>
        <w:pStyle w:val="Normal"/>
        <w:spacing w:lineRule="auto" w:line="240"/>
        <w:rPr/>
      </w:pPr>
      <w:r>
        <w:rPr/>
        <w:t>As described above, each pollutant cap will be reduced by a preset percentage each year.  The expectation is that improving technology will allow this to continue at a reasonable cost.  However, the program includes a cost "circuit breaker" for each pollutant.  The circuit breaker operation is illustrated in Figure 2.  The circuit breaker is expressed as a $/ton cost.  As the cap tightens, we expect allowance prices eventually to increase.  When the allowance price (averaged over a year) increases to exceed the circuit breaker level, the cap stops tightening.  The cap does not increase but stays fixed.  Over time, we expect that technology will improve and the allowance price will drop below the circuit breaker level.  At that time, the cap starts to tighten again.  In this way, the system continues to push technology and reduce emissions within a preset cost.  At the same time it gives the regulated community certainty over the cost of required reductions, since the cost of allowances will be close to the circuit breaker level over time.</w:t>
      </w:r>
    </w:p>
    <w:p>
      <w:pPr>
        <w:pStyle w:val="Normal"/>
        <w:spacing w:lineRule="auto" w:line="240"/>
        <w:rPr/>
      </w:pPr>
      <w:r>
        <w:rPr/>
      </w:r>
    </w:p>
    <w:p>
      <w:pPr>
        <w:pStyle w:val="Heading1"/>
        <w:ind w:hanging="0" w:start="0"/>
        <w:rPr/>
      </w:pPr>
      <w:r>
        <w:rPr/>
        <w:t>Figure 2</w:t>
      </w:r>
    </w:p>
    <w:p>
      <w:pPr>
        <w:pStyle w:val="Normal"/>
        <w:spacing w:lineRule="auto" w:line="240"/>
        <w:jc w:val="center"/>
        <w:rPr>
          <w:b/>
        </w:rPr>
      </w:pPr>
      <w:r>
        <w:rPr>
          <w:b/>
        </w:rPr>
        <w:t>Illustration of Circuit Breaker Mechanism</w:t>
      </w:r>
    </w:p>
    <w:p>
      <w:pPr>
        <w:pStyle w:val="Normal"/>
        <w:spacing w:lineRule="auto" w:line="240"/>
        <w:rPr>
          <w:b/>
        </w:rPr>
      </w:pPr>
      <w:r>
        <w:rPr>
          <w:b/>
        </w:rPr>
      </w:r>
    </w:p>
    <w:p>
      <w:pPr>
        <w:pStyle w:val="Normal"/>
        <w:spacing w:lineRule="auto" w:line="240"/>
        <w:rPr/>
      </w:pPr>
      <w:r>
        <w:rPr/>
        <w:t xml:space="preserve">The declining cap/circuit breaker approach </w:t>
      </w: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0685" cy="3749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7" r="-5" b="-7"/>
                    <a:stretch>
                      <a:fillRect/>
                    </a:stretch>
                  </pic:blipFill>
                  <pic:spPr bwMode="auto">
                    <a:xfrm>
                      <a:off x="0" y="0"/>
                      <a:ext cx="5480685" cy="3749040"/>
                    </a:xfrm>
                    <a:prstGeom prst="rect">
                      <a:avLst/>
                    </a:prstGeom>
                    <a:noFill/>
                  </pic:spPr>
                </pic:pic>
              </a:graphicData>
            </a:graphic>
          </wp:anchor>
        </w:drawing>
      </w:r>
      <w:r>
        <w:rPr/>
        <w:t>provides a simpler approach to regulating emissions from the power generation sector.  It is also an approach that encourages the use of cleaner, more efficient technology.  Most important, it provides better environmental performance better than existing regulatory programs.  The end result is a diverse, stable power sector with lower emissions and lower cost than achievable under other approaches.</w:t>
      </w:r>
    </w:p>
    <w:p>
      <w:pPr>
        <w:pStyle w:val="Normal"/>
        <w:spacing w:lineRule="auto" w:line="240"/>
        <w:rPr/>
      </w:pPr>
      <w:r>
        <w:rPr/>
      </w:r>
      <w:r>
        <w:br w:type="page"/>
      </w:r>
    </w:p>
    <w:p>
      <w:pPr>
        <w:pStyle w:val="Normal"/>
        <w:spacing w:lineRule="auto" w:line="240"/>
        <w:rPr/>
      </w:pPr>
      <w:r>
        <w:rPr/>
        <w:t>The Clean power Group is:</w:t>
      </w:r>
    </w:p>
    <w:p>
      <w:pPr>
        <w:sectPr>
          <w:type w:val="nextPage"/>
          <w:pgSz w:w="12240" w:h="15840"/>
          <w:pgMar w:left="1440" w:right="1440" w:gutter="0" w:header="0" w:top="2160" w:footer="0" w:bottom="1440"/>
          <w:pgNumType w:fmt="decimal"/>
          <w:formProt w:val="false"/>
          <w:textDirection w:val="lrTb"/>
          <w:docGrid w:type="default" w:linePitch="360" w:charSpace="0"/>
        </w:sectPr>
      </w:pPr>
    </w:p>
    <w:p>
      <w:pPr>
        <w:pStyle w:val="Bullet1"/>
        <w:numPr>
          <w:ilvl w:val="0"/>
          <w:numId w:val="2"/>
        </w:numPr>
        <w:rPr/>
      </w:pPr>
      <w:r>
        <w:rPr/>
        <w:t>Calpine</w:t>
      </w:r>
    </w:p>
    <w:p>
      <w:pPr>
        <w:pStyle w:val="Bullet1"/>
        <w:numPr>
          <w:ilvl w:val="0"/>
          <w:numId w:val="2"/>
        </w:numPr>
        <w:rPr/>
      </w:pPr>
      <w:r>
        <w:rPr/>
        <w:t>El Paso</w:t>
      </w:r>
    </w:p>
    <w:p>
      <w:pPr>
        <w:pStyle w:val="Bullet1"/>
        <w:numPr>
          <w:ilvl w:val="0"/>
          <w:numId w:val="2"/>
        </w:numPr>
        <w:rPr/>
      </w:pPr>
      <w:r>
        <w:rPr/>
        <w:t>Enron</w:t>
      </w:r>
    </w:p>
    <w:p>
      <w:pPr>
        <w:pStyle w:val="Bullet1"/>
        <w:numPr>
          <w:ilvl w:val="0"/>
          <w:numId w:val="2"/>
        </w:numPr>
        <w:rPr/>
      </w:pPr>
      <w:r>
        <w:rPr/>
        <w:t>Nisource</w:t>
      </w:r>
    </w:p>
    <w:p>
      <w:pPr>
        <w:pStyle w:val="Bullet1"/>
        <w:numPr>
          <w:ilvl w:val="0"/>
          <w:numId w:val="2"/>
        </w:numPr>
        <w:rPr/>
      </w:pPr>
      <w:r>
        <w:rPr/>
        <w:t>Trigen</w:t>
      </w:r>
    </w:p>
    <w:p>
      <w:pPr>
        <w:sectPr>
          <w:type w:val="continuous"/>
          <w:pgSz w:w="12240" w:h="15840"/>
          <w:pgMar w:left="1440" w:right="1440" w:gutter="0" w:header="0" w:top="2160" w:footer="0" w:bottom="1440"/>
          <w:cols w:num="3" w:space="708" w:equalWidth="true" w:sep="false"/>
          <w:formProt w:val="false"/>
          <w:textDirection w:val="lrTb"/>
          <w:docGrid w:type="default" w:linePitch="360" w:charSpace="0"/>
        </w:sectPr>
      </w:pPr>
    </w:p>
    <w:p>
      <w:pPr>
        <w:pStyle w:val="Bullet1"/>
        <w:numPr>
          <w:ilvl w:val="0"/>
          <w:numId w:val="0"/>
        </w:numPr>
        <w:spacing w:before="0" w:after="120"/>
        <w:ind w:hanging="0" w:start="0"/>
        <w:rPr/>
      </w:pPr>
      <w:r>
        <w:rPr/>
      </w:r>
    </w:p>
    <w:sectPr>
      <w:type w:val="continuous"/>
      <w:pgSz w:w="12240" w:h="15840"/>
      <w:pgMar w:left="1440" w:right="1440" w:gutter="0" w:header="0" w:top="216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jc w:val="center"/>
      <w:outlineLvl w:val="0"/>
    </w:pPr>
    <w:rPr>
      <w:b/>
    </w:rPr>
  </w:style>
  <w:style w:type="paragraph" w:styleId="Heading2">
    <w:name w:val="heading 2"/>
    <w:basedOn w:val="Normal"/>
    <w:next w:val="Normal"/>
    <w:qFormat/>
    <w:pPr>
      <w:keepNext w:val="true"/>
      <w:numPr>
        <w:ilvl w:val="1"/>
        <w:numId w:val="1"/>
      </w:numPr>
      <w:spacing w:lineRule="auto" w:line="240"/>
      <w:jc w:val="center"/>
      <w:outlineLvl w:val="1"/>
    </w:pPr>
    <w:rPr>
      <w:b/>
      <w:sz w:val="28"/>
    </w:rPr>
  </w:style>
  <w:style w:type="character" w:styleId="WW8Num2z0">
    <w:name w:val="WW8Num2z0"/>
    <w:qFormat/>
    <w:rPr>
      <w:rFonts w:ascii="Symbol" w:hAnsi="Symbol" w:cs="Symbol"/>
    </w:rPr>
  </w:style>
  <w:style w:type="character" w:styleId="WW8Num3z0">
    <w:name w:val="WW8Num3z0"/>
    <w:qFormat/>
    <w:rPr/>
  </w:style>
  <w:style w:type="character" w:styleId="WW8NumSt2z0">
    <w:name w:val="WW8NumSt2z0"/>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3"/>
      </w:numPr>
      <w:spacing w:lineRule="auto" w:line="240" w:before="0" w:after="120"/>
      <w:ind w:hanging="360" w:start="720" w:end="0"/>
    </w:pPr>
    <w:rPr/>
  </w:style>
  <w:style w:type="paragraph" w:styleId="Bullet2">
    <w:name w:val="Bullet #2"/>
    <w:basedOn w:val="Bullet1"/>
    <w:qFormat/>
    <w:pPr>
      <w:numPr>
        <w:ilvl w:val="0"/>
        <w:numId w:val="4"/>
      </w:numPr>
      <w:ind w:hanging="360" w:start="1080" w:end="0"/>
    </w:pPr>
    <w:rPr/>
  </w:style>
  <w:style w:type="paragraph" w:styleId="Bullet3">
    <w:name w:val="Bullet #3"/>
    <w:basedOn w:val="Bullet2"/>
    <w:qFormat/>
    <w:pPr>
      <w:numPr>
        <w:ilvl w:val="0"/>
        <w:numId w:val="5"/>
      </w:numPr>
      <w:ind w:hanging="360" w:start="1440" w:end="0"/>
    </w:pPr>
    <w:rPr/>
  </w:style>
  <w:style w:type="paragraph" w:styleId="EEAHead1">
    <w:name w:val="EEAHead1"/>
    <w:basedOn w:val="Normal"/>
    <w:qFormat/>
    <w:pPr>
      <w:tabs>
        <w:tab w:val="left" w:pos="720" w:leader="none"/>
      </w:tabs>
      <w:spacing w:before="0" w:after="120"/>
    </w:pPr>
    <w:rPr>
      <w:b/>
      <w:caps/>
    </w:rPr>
  </w:style>
  <w:style w:type="paragraph" w:styleId="EEAHead2">
    <w:name w:val="EEAHead2"/>
    <w:basedOn w:val="EEAHead1"/>
    <w:qFormat/>
    <w:pPr/>
    <w:rPr>
      <w:caps w:val="false"/>
      <w:smallCaps w:val="false"/>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EEAOPEN1</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2001-05-22T11:33:00Z</dcterms:created>
  <dc:creator>Joel Bluestein</dc:creator>
  <dc:description/>
  <dc:language>en-CA</dc:language>
  <cp:lastModifiedBy>jkeeler</cp:lastModifiedBy>
  <cp:lastPrinted>2001-04-06T11:00:00Z</cp:lastPrinted>
  <dcterms:modified xsi:type="dcterms:W3CDTF">2001-08-09T14:53:00Z</dcterms:modified>
  <cp:revision>8</cp:revision>
  <dc:subject/>
  <dc:title>Special consideration must be given to national and state implementation issues and to a</dc:title>
</cp:coreProperties>
</file>