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jc w:val="center"/>
        <w:rPr>
          <w:b/>
          <w:sz w:val="32"/>
        </w:rPr>
      </w:pPr>
      <w:r>
        <w:rPr>
          <w:b/>
          <w:sz w:val="32"/>
        </w:rPr>
        <w:t>The Clean Power Group</w:t>
      </w:r>
    </w:p>
    <w:p>
      <w:pPr>
        <w:pStyle w:val="Normal"/>
        <w:spacing w:lineRule="auto" w:line="240"/>
        <w:jc w:val="center"/>
        <w:rPr>
          <w:b/>
          <w:sz w:val="32"/>
        </w:rPr>
      </w:pPr>
      <w:r>
        <w:rPr>
          <w:b/>
          <w:sz w:val="32"/>
        </w:rPr>
      </w:r>
    </w:p>
    <w:p>
      <w:pPr>
        <w:pStyle w:val="Normal"/>
        <w:spacing w:lineRule="auto" w:line="240"/>
        <w:jc w:val="center"/>
        <w:rPr>
          <w:b/>
          <w:sz w:val="32"/>
        </w:rPr>
      </w:pPr>
      <w:r>
        <w:rPr>
          <w:b/>
          <w:sz w:val="32"/>
        </w:rPr>
        <w:t>Electricity Supply and Emission Reduction Act of 2001</w:t>
      </w:r>
    </w:p>
    <w:p>
      <w:pPr>
        <w:pStyle w:val="Normal"/>
        <w:spacing w:lineRule="auto" w:line="240"/>
        <w:jc w:val="center"/>
        <w:rPr>
          <w:b/>
          <w:sz w:val="32"/>
        </w:rPr>
      </w:pPr>
      <w:r>
        <w:rPr>
          <w:b/>
          <w:sz w:val="32"/>
        </w:rPr>
      </w:r>
    </w:p>
    <w:p>
      <w:pPr>
        <w:pStyle w:val="Heading1"/>
        <w:ind w:hanging="0" w:start="0"/>
        <w:rPr>
          <w:sz w:val="32"/>
        </w:rPr>
      </w:pPr>
      <w:r>
        <w:rPr>
          <w:sz w:val="32"/>
        </w:rPr>
        <w:t>Section by Section Summary</w:t>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Normal"/>
        <w:spacing w:lineRule="auto" w:line="240"/>
        <w:rPr>
          <w:b/>
          <w:sz w:val="28"/>
        </w:rPr>
      </w:pPr>
      <w:r>
        <w:rPr>
          <w:b/>
          <w:sz w:val="28"/>
        </w:rPr>
      </w:r>
    </w:p>
    <w:p>
      <w:pPr>
        <w:pStyle w:val="Heading1"/>
        <w:ind w:hanging="0" w:start="0"/>
        <w:rPr/>
      </w:pPr>
      <w:r>
        <w:rPr/>
        <w:t>July 2001</w:t>
      </w:r>
      <w:r>
        <w:br w:type="page"/>
      </w:r>
    </w:p>
    <w:p>
      <w:pPr>
        <w:pStyle w:val="Heading1"/>
        <w:ind w:hanging="0" w:start="0"/>
        <w:rPr/>
      </w:pPr>
      <w:r>
        <w:rPr/>
        <w:t>Electricity Supply and Emission Reduction Act of 2001</w:t>
      </w:r>
    </w:p>
    <w:p>
      <w:pPr>
        <w:pStyle w:val="Normal"/>
        <w:spacing w:lineRule="auto" w:line="240"/>
        <w:jc w:val="center"/>
        <w:rPr>
          <w:b/>
          <w:sz w:val="28"/>
        </w:rPr>
      </w:pPr>
      <w:r>
        <w:rPr>
          <w:b/>
          <w:sz w:val="28"/>
        </w:rPr>
      </w:r>
    </w:p>
    <w:p>
      <w:pPr>
        <w:pStyle w:val="Normal"/>
        <w:spacing w:lineRule="auto" w:line="240"/>
        <w:jc w:val="center"/>
        <w:rPr>
          <w:b/>
          <w:sz w:val="28"/>
        </w:rPr>
      </w:pPr>
      <w:r>
        <w:rPr>
          <w:b/>
          <w:sz w:val="28"/>
        </w:rPr>
        <w:t>Section by Section Summary</w:t>
      </w:r>
    </w:p>
    <w:p>
      <w:pPr>
        <w:pStyle w:val="Normal"/>
        <w:spacing w:lineRule="auto" w:line="240"/>
        <w:rPr>
          <w:b/>
          <w:sz w:val="28"/>
        </w:rPr>
      </w:pPr>
      <w:r>
        <w:rPr>
          <w:b/>
          <w:sz w:val="28"/>
        </w:rPr>
      </w:r>
    </w:p>
    <w:p>
      <w:pPr>
        <w:pStyle w:val="Normal"/>
        <w:spacing w:lineRule="auto" w:line="240"/>
        <w:rPr/>
      </w:pPr>
      <w:r>
        <w:rPr/>
        <w:t>The Clean Power Group has proposed a multipollutant approach to regulation of emissions from the power generation sector.  The plan uses declining caps on NO</w:t>
      </w:r>
      <w:r>
        <w:rPr>
          <w:vertAlign w:val="subscript"/>
        </w:rPr>
        <w:t>x</w:t>
      </w:r>
      <w:r>
        <w:rPr/>
        <w:t>, SO</w:t>
      </w:r>
      <w:r>
        <w:rPr>
          <w:vertAlign w:val="subscript"/>
        </w:rPr>
        <w:t>2</w:t>
      </w:r>
      <w:r>
        <w:rPr/>
        <w:t>, mercury and potentially CO</w:t>
      </w:r>
      <w:r>
        <w:rPr>
          <w:vertAlign w:val="subscript"/>
        </w:rPr>
        <w:t>2</w:t>
      </w:r>
      <w:r>
        <w:rPr/>
        <w:t xml:space="preserve"> to reduce the emissions over time.  A "circuit breaker" keyed to the cost of allowances for each pollutant is used, if necessary, to prevent economic disruption and slow the pace of the decline to allow technology and markets to provide efficient, cost-effective control options.  The plan affects all power generators greater than 10 MW including renewables and also gives direct credit to end use efficiency (conservation).  Smaller generators would have the option of opting into the program.  Allowances for each pollutant are allocated annually based on the generation from each plant.  The plan replaces the NSR BACT/LAER and offsets provisions for affected plants.  It would also replace the acid rain, regional haze, regional NO</w:t>
      </w:r>
      <w:r>
        <w:rPr>
          <w:vertAlign w:val="subscript"/>
        </w:rPr>
        <w:t>x</w:t>
      </w:r>
      <w:r>
        <w:rPr/>
        <w:t>, mercury MACT and other programs currently targeting these pollutants.  NSPS and local NAAQS impacts requirements would still apply.  The Clean Power Group legislation is summarized below.</w:t>
      </w:r>
    </w:p>
    <w:p>
      <w:pPr>
        <w:pStyle w:val="Normal"/>
        <w:spacing w:lineRule="auto" w:line="240"/>
        <w:rPr/>
      </w:pPr>
      <w:r>
        <w:rPr/>
      </w:r>
    </w:p>
    <w:p>
      <w:pPr>
        <w:pStyle w:val="Normal"/>
        <w:spacing w:lineRule="auto" w:line="240"/>
        <w:rPr>
          <w:b/>
        </w:rPr>
      </w:pPr>
      <w:r>
        <w:rPr>
          <w:b/>
        </w:rPr>
        <w:t>Section 1:  Short Title; Table of Contents</w:t>
      </w:r>
    </w:p>
    <w:p>
      <w:pPr>
        <w:pStyle w:val="Normal"/>
        <w:spacing w:lineRule="auto" w:line="240"/>
        <w:rPr/>
      </w:pPr>
      <w:r>
        <w:rPr/>
        <w:t>The Act may be cited as the "Electricity Supply and Emission Reduction Act of 2001."</w:t>
      </w:r>
    </w:p>
    <w:p>
      <w:pPr>
        <w:pStyle w:val="Normal"/>
        <w:spacing w:lineRule="auto" w:line="240"/>
        <w:rPr/>
      </w:pPr>
      <w:r>
        <w:rPr/>
      </w:r>
    </w:p>
    <w:p>
      <w:pPr>
        <w:pStyle w:val="Normal"/>
        <w:spacing w:lineRule="auto" w:line="240"/>
        <w:rPr>
          <w:b/>
        </w:rPr>
      </w:pPr>
      <w:r>
        <w:rPr>
          <w:b/>
        </w:rPr>
        <w:t>Section 2: Findings and Purpose</w:t>
      </w:r>
    </w:p>
    <w:p>
      <w:pPr>
        <w:pStyle w:val="Normal"/>
        <w:spacing w:lineRule="auto" w:line="240"/>
        <w:rPr/>
      </w:pPr>
      <w:r>
        <w:rPr/>
        <w:t>Findings of Congress and purposes of the act.</w:t>
      </w:r>
    </w:p>
    <w:p>
      <w:pPr>
        <w:pStyle w:val="Normal"/>
        <w:spacing w:lineRule="auto" w:line="240"/>
        <w:rPr/>
      </w:pPr>
      <w:r>
        <w:rPr/>
      </w:r>
    </w:p>
    <w:p>
      <w:pPr>
        <w:pStyle w:val="Normal"/>
        <w:spacing w:lineRule="auto" w:line="240"/>
        <w:rPr>
          <w:b/>
        </w:rPr>
      </w:pPr>
      <w:r>
        <w:rPr>
          <w:b/>
        </w:rPr>
        <w:t>Section 3: Definitions</w:t>
      </w:r>
    </w:p>
    <w:p>
      <w:pPr>
        <w:pStyle w:val="Normal"/>
        <w:spacing w:lineRule="auto" w:line="240"/>
        <w:rPr/>
      </w:pPr>
      <w:r>
        <w:rPr/>
        <w:t>Definition of terms.</w:t>
      </w:r>
    </w:p>
    <w:p>
      <w:pPr>
        <w:pStyle w:val="Normal"/>
        <w:spacing w:lineRule="auto" w:line="240"/>
        <w:rPr/>
      </w:pPr>
      <w:r>
        <w:rPr/>
      </w:r>
    </w:p>
    <w:p>
      <w:pPr>
        <w:pStyle w:val="Normal"/>
        <w:spacing w:lineRule="auto" w:line="240"/>
        <w:rPr>
          <w:b/>
        </w:rPr>
      </w:pPr>
      <w:r>
        <w:rPr>
          <w:b/>
        </w:rPr>
        <w:t>Section 4: Emission Reduction Obligation</w:t>
      </w:r>
    </w:p>
    <w:p>
      <w:pPr>
        <w:pStyle w:val="Normal"/>
        <w:spacing w:lineRule="auto" w:line="240"/>
        <w:rPr/>
      </w:pPr>
      <w:r>
        <w:rPr/>
        <w:t>Requires each unit to hold and retire allowances equal to its actual emissions in each covered year.  Unused allowances can be banked for future use.</w:t>
      </w:r>
    </w:p>
    <w:p>
      <w:pPr>
        <w:pStyle w:val="Normal"/>
        <w:spacing w:lineRule="auto" w:line="240"/>
        <w:rPr/>
      </w:pPr>
      <w:r>
        <w:rPr/>
      </w:r>
    </w:p>
    <w:p>
      <w:pPr>
        <w:pStyle w:val="Normal"/>
        <w:spacing w:lineRule="auto" w:line="240"/>
        <w:rPr>
          <w:b/>
        </w:rPr>
      </w:pPr>
      <w:r>
        <w:rPr>
          <w:b/>
        </w:rPr>
        <w:t>Section 5: Determining Allowance Levels in Each Covered Year</w:t>
      </w:r>
    </w:p>
    <w:p>
      <w:pPr>
        <w:pStyle w:val="Normal"/>
        <w:spacing w:lineRule="auto" w:line="240"/>
        <w:rPr/>
      </w:pPr>
      <w:r>
        <w:rPr/>
        <w:t xml:space="preserve">Establishes the total allowances available for allocation in each future year.  The first covered year will be the year starting at least 18 months years after enactment of the bill.  The initial level for each pollutant is based on the current emission tonnage for all power generating units. The program includes all generators over 10 MW, which is a larger universe than the existing cap and trade programs.  Thus the starting point is slightly higher than the Title IV acid rain universe.  </w:t>
      </w:r>
    </w:p>
    <w:p>
      <w:pPr>
        <w:pStyle w:val="Normal"/>
        <w:spacing w:lineRule="auto" w:line="240"/>
        <w:rPr/>
      </w:pPr>
      <w:r>
        <w:rPr/>
      </w:r>
    </w:p>
    <w:p>
      <w:pPr>
        <w:pStyle w:val="Normal"/>
        <w:spacing w:lineRule="auto" w:line="240"/>
        <w:rPr/>
      </w:pPr>
      <w:r>
        <w:rPr/>
        <w:t>The available level declines by a fixed percentage each year.  If the average price of allowances for a particular emission exceeds the predetermined "stop price”, the level of allowances is held constant for that emission until the allowance price goes below the stop price for that emission.  If CO</w:t>
      </w:r>
      <w:r>
        <w:rPr>
          <w:vertAlign w:val="subscript"/>
        </w:rPr>
        <w:t>2</w:t>
      </w:r>
      <w:r>
        <w:rPr/>
        <w:t xml:space="preserve"> is included, the allocation levels for the first four years are determined in advance.  The level starts declining in the fifth year.  The stop price for CO</w:t>
      </w:r>
      <w:r>
        <w:rPr>
          <w:vertAlign w:val="subscript"/>
        </w:rPr>
        <w:t>2</w:t>
      </w:r>
      <w:r>
        <w:rPr/>
        <w:t xml:space="preserve"> will need to be determined based on policy needs of the program.  The initial level, the annual percentage reduction and the stop price for each emission is summarized below. </w:t>
      </w:r>
    </w:p>
    <w:p>
      <w:pPr>
        <w:pStyle w:val="Normal"/>
        <w:spacing w:lineRule="auto" w:line="240"/>
        <w:rPr/>
      </w:pPr>
      <w:r>
        <w:rPr/>
      </w:r>
    </w:p>
    <w:p>
      <w:pPr>
        <w:pStyle w:val="Normal"/>
        <w:spacing w:lineRule="auto" w:line="240"/>
        <w:jc w:val="center"/>
        <w:rPr/>
      </w:pPr>
      <w:r>
        <w:rPr/>
        <w:t>Summary of Declining Cap Parameters</w:t>
      </w:r>
    </w:p>
    <w:tbl>
      <w:tblPr>
        <w:tblW w:w="6596" w:type="dxa"/>
        <w:jc w:val="center"/>
        <w:tblInd w:w="0" w:type="dxa"/>
        <w:tblLayout w:type="fixed"/>
        <w:tblCellMar>
          <w:top w:w="0" w:type="dxa"/>
          <w:start w:w="108" w:type="dxa"/>
          <w:bottom w:w="0" w:type="dxa"/>
          <w:end w:w="108" w:type="dxa"/>
        </w:tblCellMar>
      </w:tblPr>
      <w:tblGrid>
        <w:gridCol w:w="1163"/>
        <w:gridCol w:w="1811"/>
        <w:gridCol w:w="1854"/>
        <w:gridCol w:w="1768"/>
      </w:tblGrid>
      <w:tr>
        <w:trPr/>
        <w:tc>
          <w:tcPr>
            <w:tcW w:w="1163" w:type="dxa"/>
            <w:tcBorders>
              <w:top w:val="single" w:sz="12" w:space="0" w:color="008000"/>
              <w:bottom w:val="single" w:sz="6" w:space="0" w:color="008000"/>
            </w:tcBorders>
          </w:tcPr>
          <w:p>
            <w:pPr>
              <w:pStyle w:val="Normal"/>
              <w:snapToGrid w:val="false"/>
              <w:spacing w:lineRule="auto" w:line="240"/>
              <w:rPr/>
            </w:pPr>
            <w:r>
              <w:rPr/>
            </w:r>
          </w:p>
        </w:tc>
        <w:tc>
          <w:tcPr>
            <w:tcW w:w="1811" w:type="dxa"/>
            <w:tcBorders>
              <w:top w:val="single" w:sz="12" w:space="0" w:color="008000"/>
              <w:bottom w:val="single" w:sz="6" w:space="0" w:color="008000"/>
            </w:tcBorders>
          </w:tcPr>
          <w:p>
            <w:pPr>
              <w:pStyle w:val="Normal"/>
              <w:spacing w:lineRule="auto" w:line="240"/>
              <w:jc w:val="center"/>
              <w:rPr/>
            </w:pPr>
            <w:r>
              <w:rPr/>
              <w:t>Starting Level</w:t>
            </w:r>
          </w:p>
        </w:tc>
        <w:tc>
          <w:tcPr>
            <w:tcW w:w="1854" w:type="dxa"/>
            <w:tcBorders>
              <w:top w:val="single" w:sz="12" w:space="0" w:color="008000"/>
              <w:bottom w:val="single" w:sz="6" w:space="0" w:color="008000"/>
            </w:tcBorders>
          </w:tcPr>
          <w:p>
            <w:pPr>
              <w:pStyle w:val="Normal"/>
              <w:spacing w:lineRule="auto" w:line="240"/>
              <w:jc w:val="center"/>
              <w:rPr/>
            </w:pPr>
            <w:r>
              <w:rPr/>
              <w:t>Reduction</w:t>
            </w:r>
          </w:p>
          <w:p>
            <w:pPr>
              <w:pStyle w:val="Normal"/>
              <w:spacing w:lineRule="auto" w:line="240"/>
              <w:jc w:val="center"/>
              <w:rPr/>
            </w:pPr>
            <w:r>
              <w:rPr/>
              <w:t>(%/year)</w:t>
            </w:r>
          </w:p>
        </w:tc>
        <w:tc>
          <w:tcPr>
            <w:tcW w:w="1768" w:type="dxa"/>
            <w:tcBorders>
              <w:top w:val="single" w:sz="12" w:space="0" w:color="008000"/>
              <w:bottom w:val="single" w:sz="6" w:space="0" w:color="008000"/>
            </w:tcBorders>
          </w:tcPr>
          <w:p>
            <w:pPr>
              <w:pStyle w:val="Normal"/>
              <w:spacing w:lineRule="auto" w:line="240"/>
              <w:jc w:val="center"/>
              <w:rPr/>
            </w:pPr>
            <w:r>
              <w:rPr/>
              <w:t>Circuit Breaker</w:t>
            </w:r>
          </w:p>
          <w:p>
            <w:pPr>
              <w:pStyle w:val="Normal"/>
              <w:spacing w:lineRule="auto" w:line="240"/>
              <w:jc w:val="center"/>
              <w:rPr/>
            </w:pPr>
            <w:r>
              <w:rPr/>
              <w:t>($/ton)</w:t>
            </w:r>
          </w:p>
        </w:tc>
      </w:tr>
      <w:tr>
        <w:trPr/>
        <w:tc>
          <w:tcPr>
            <w:tcW w:w="1163" w:type="dxa"/>
            <w:tcBorders/>
          </w:tcPr>
          <w:p>
            <w:pPr>
              <w:pStyle w:val="Normal"/>
              <w:spacing w:lineRule="auto" w:line="240"/>
              <w:rPr/>
            </w:pPr>
            <w:r>
              <w:rPr/>
              <w:t>SO</w:t>
            </w:r>
            <w:r>
              <w:rPr>
                <w:vertAlign w:val="subscript"/>
              </w:rPr>
              <w:t>2</w:t>
            </w:r>
            <w:r>
              <w:rPr/>
              <w:t xml:space="preserve"> </w:t>
            </w:r>
          </w:p>
        </w:tc>
        <w:tc>
          <w:tcPr>
            <w:tcW w:w="1811" w:type="dxa"/>
            <w:tcBorders/>
          </w:tcPr>
          <w:p>
            <w:pPr>
              <w:pStyle w:val="Normal"/>
              <w:spacing w:lineRule="auto" w:line="240"/>
              <w:jc w:val="center"/>
              <w:rPr/>
            </w:pPr>
            <w:r>
              <w:rPr/>
              <w:t>9.5 MMtons</w:t>
            </w:r>
          </w:p>
        </w:tc>
        <w:tc>
          <w:tcPr>
            <w:tcW w:w="1854" w:type="dxa"/>
            <w:tcBorders/>
          </w:tcPr>
          <w:p>
            <w:pPr>
              <w:pStyle w:val="Normal"/>
              <w:spacing w:lineRule="auto" w:line="240"/>
              <w:jc w:val="center"/>
              <w:rPr/>
            </w:pPr>
            <w:r>
              <w:rPr/>
              <w:t>10%</w:t>
            </w:r>
          </w:p>
        </w:tc>
        <w:tc>
          <w:tcPr>
            <w:tcW w:w="1768" w:type="dxa"/>
            <w:tcBorders/>
          </w:tcPr>
          <w:p>
            <w:pPr>
              <w:pStyle w:val="Normal"/>
              <w:spacing w:lineRule="auto" w:line="240"/>
              <w:jc w:val="center"/>
              <w:rPr/>
            </w:pPr>
            <w:r>
              <w:rPr/>
              <w:t>$600</w:t>
            </w:r>
          </w:p>
        </w:tc>
      </w:tr>
      <w:tr>
        <w:trPr/>
        <w:tc>
          <w:tcPr>
            <w:tcW w:w="1163" w:type="dxa"/>
            <w:tcBorders/>
          </w:tcPr>
          <w:p>
            <w:pPr>
              <w:pStyle w:val="Normal"/>
              <w:spacing w:lineRule="auto" w:line="240"/>
              <w:rPr/>
            </w:pPr>
            <w:r>
              <w:rPr/>
              <w:t>NO</w:t>
            </w:r>
            <w:r>
              <w:rPr>
                <w:vertAlign w:val="subscript"/>
              </w:rPr>
              <w:t>x</w:t>
            </w:r>
          </w:p>
        </w:tc>
        <w:tc>
          <w:tcPr>
            <w:tcW w:w="1811" w:type="dxa"/>
            <w:tcBorders/>
          </w:tcPr>
          <w:p>
            <w:pPr>
              <w:pStyle w:val="Normal"/>
              <w:spacing w:lineRule="auto" w:line="240"/>
              <w:jc w:val="center"/>
              <w:rPr/>
            </w:pPr>
            <w:r>
              <w:rPr/>
              <w:t>5.5 MMtons</w:t>
            </w:r>
          </w:p>
        </w:tc>
        <w:tc>
          <w:tcPr>
            <w:tcW w:w="1854" w:type="dxa"/>
            <w:tcBorders/>
          </w:tcPr>
          <w:p>
            <w:pPr>
              <w:pStyle w:val="Normal"/>
              <w:spacing w:lineRule="auto" w:line="240"/>
              <w:jc w:val="center"/>
              <w:rPr/>
            </w:pPr>
            <w:r>
              <w:rPr/>
              <w:t>12%</w:t>
            </w:r>
          </w:p>
        </w:tc>
        <w:tc>
          <w:tcPr>
            <w:tcW w:w="1768" w:type="dxa"/>
            <w:tcBorders/>
          </w:tcPr>
          <w:p>
            <w:pPr>
              <w:pStyle w:val="Normal"/>
              <w:spacing w:lineRule="auto" w:line="240"/>
              <w:jc w:val="center"/>
              <w:rPr/>
            </w:pPr>
            <w:r>
              <w:rPr/>
              <w:t>$3,000</w:t>
            </w:r>
          </w:p>
        </w:tc>
      </w:tr>
      <w:tr>
        <w:trPr/>
        <w:tc>
          <w:tcPr>
            <w:tcW w:w="1163" w:type="dxa"/>
            <w:tcBorders/>
          </w:tcPr>
          <w:p>
            <w:pPr>
              <w:pStyle w:val="Normal"/>
              <w:spacing w:lineRule="auto" w:line="240"/>
              <w:rPr/>
            </w:pPr>
            <w:r>
              <w:rPr/>
              <w:t>Mercury</w:t>
            </w:r>
          </w:p>
        </w:tc>
        <w:tc>
          <w:tcPr>
            <w:tcW w:w="1811" w:type="dxa"/>
            <w:tcBorders/>
          </w:tcPr>
          <w:p>
            <w:pPr>
              <w:pStyle w:val="Normal"/>
              <w:spacing w:lineRule="auto" w:line="240"/>
              <w:jc w:val="center"/>
              <w:rPr/>
            </w:pPr>
            <w:r>
              <w:rPr/>
              <w:t>43 tons</w:t>
            </w:r>
          </w:p>
        </w:tc>
        <w:tc>
          <w:tcPr>
            <w:tcW w:w="1854" w:type="dxa"/>
            <w:tcBorders/>
          </w:tcPr>
          <w:p>
            <w:pPr>
              <w:pStyle w:val="Normal"/>
              <w:spacing w:lineRule="auto" w:line="240"/>
              <w:jc w:val="center"/>
              <w:rPr/>
            </w:pPr>
            <w:r>
              <w:rPr/>
              <w:t>11%</w:t>
            </w:r>
          </w:p>
        </w:tc>
        <w:tc>
          <w:tcPr>
            <w:tcW w:w="1768" w:type="dxa"/>
            <w:tcBorders/>
          </w:tcPr>
          <w:p>
            <w:pPr>
              <w:pStyle w:val="Normal"/>
              <w:spacing w:lineRule="auto" w:line="240"/>
              <w:jc w:val="center"/>
              <w:rPr/>
            </w:pPr>
            <w:r>
              <w:rPr/>
              <w:t>$35,000</w:t>
            </w:r>
          </w:p>
        </w:tc>
      </w:tr>
      <w:tr>
        <w:trPr/>
        <w:tc>
          <w:tcPr>
            <w:tcW w:w="1163" w:type="dxa"/>
            <w:tcBorders>
              <w:bottom w:val="single" w:sz="12" w:space="0" w:color="008000"/>
            </w:tcBorders>
          </w:tcPr>
          <w:p>
            <w:pPr>
              <w:pStyle w:val="Normal"/>
              <w:spacing w:lineRule="auto" w:line="240"/>
              <w:rPr/>
            </w:pPr>
            <w:r>
              <w:rPr/>
              <w:t>CO</w:t>
            </w:r>
            <w:r>
              <w:rPr>
                <w:vertAlign w:val="subscript"/>
              </w:rPr>
              <w:t>2</w:t>
            </w:r>
            <w:r>
              <w:rPr/>
              <w:t>*</w:t>
            </w:r>
          </w:p>
        </w:tc>
        <w:tc>
          <w:tcPr>
            <w:tcW w:w="1811" w:type="dxa"/>
            <w:tcBorders>
              <w:bottom w:val="single" w:sz="12" w:space="0" w:color="008000"/>
            </w:tcBorders>
          </w:tcPr>
          <w:p>
            <w:pPr>
              <w:pStyle w:val="Normal"/>
              <w:spacing w:lineRule="auto" w:line="240"/>
              <w:jc w:val="center"/>
              <w:rPr/>
            </w:pPr>
            <w:r>
              <w:rPr/>
              <w:t>2,453 MMtons</w:t>
            </w:r>
          </w:p>
        </w:tc>
        <w:tc>
          <w:tcPr>
            <w:tcW w:w="1854" w:type="dxa"/>
            <w:tcBorders>
              <w:bottom w:val="single" w:sz="12" w:space="0" w:color="008000"/>
            </w:tcBorders>
          </w:tcPr>
          <w:p>
            <w:pPr>
              <w:pStyle w:val="Normal"/>
              <w:spacing w:lineRule="auto" w:line="240"/>
              <w:jc w:val="center"/>
              <w:rPr/>
            </w:pPr>
            <w:r>
              <w:rPr/>
              <w:t>2% from 2006**</w:t>
            </w:r>
          </w:p>
        </w:tc>
        <w:tc>
          <w:tcPr>
            <w:tcW w:w="1768" w:type="dxa"/>
            <w:tcBorders>
              <w:bottom w:val="single" w:sz="12" w:space="0" w:color="008000"/>
            </w:tcBorders>
          </w:tcPr>
          <w:p>
            <w:pPr>
              <w:pStyle w:val="Normal"/>
              <w:spacing w:lineRule="auto" w:line="240"/>
              <w:jc w:val="center"/>
              <w:rPr/>
            </w:pPr>
            <w:r>
              <w:rPr/>
              <w:t>$5</w:t>
            </w:r>
          </w:p>
        </w:tc>
      </w:tr>
    </w:tbl>
    <w:p>
      <w:pPr>
        <w:pStyle w:val="Normal"/>
        <w:spacing w:lineRule="auto" w:line="240"/>
        <w:rPr/>
      </w:pPr>
      <w:r>
        <w:rPr/>
        <w:tab/>
        <w:tab/>
        <w:t>*If applied.  **Assuming first year is 2003.</w:t>
      </w:r>
    </w:p>
    <w:p>
      <w:pPr>
        <w:pStyle w:val="Normal"/>
        <w:spacing w:lineRule="auto" w:line="240"/>
        <w:rPr/>
      </w:pPr>
      <w:r>
        <w:rPr/>
      </w:r>
    </w:p>
    <w:p>
      <w:pPr>
        <w:pStyle w:val="Normal"/>
        <w:spacing w:lineRule="auto" w:line="240"/>
        <w:rPr/>
      </w:pPr>
      <w:r>
        <w:rPr/>
        <w:t>The EPA will track allowance prices for the purpose of evaluating the stop price.  Allowance transactions intended to manipulate the stop price are forbidden.</w:t>
      </w:r>
    </w:p>
    <w:p>
      <w:pPr>
        <w:pStyle w:val="Normal"/>
        <w:spacing w:lineRule="auto" w:line="240"/>
        <w:rPr>
          <w:b/>
        </w:rPr>
      </w:pPr>
      <w:r>
        <w:rPr>
          <w:b/>
        </w:rPr>
      </w:r>
    </w:p>
    <w:p>
      <w:pPr>
        <w:pStyle w:val="Normal"/>
        <w:spacing w:lineRule="auto" w:line="240"/>
        <w:rPr>
          <w:b/>
        </w:rPr>
      </w:pPr>
      <w:r>
        <w:rPr>
          <w:b/>
        </w:rPr>
        <w:t>Section 6: Minimum Reduction Levels</w:t>
      </w:r>
    </w:p>
    <w:p>
      <w:pPr>
        <w:pStyle w:val="Normal"/>
        <w:spacing w:lineRule="auto" w:line="240"/>
        <w:rPr/>
      </w:pPr>
      <w:r>
        <w:rPr/>
        <w:t>If SO</w:t>
      </w:r>
      <w:r>
        <w:rPr>
          <w:vertAlign w:val="subscript"/>
        </w:rPr>
        <w:t>2</w:t>
      </w:r>
      <w:r>
        <w:rPr/>
        <w:t xml:space="preserve"> and NO</w:t>
      </w:r>
      <w:r>
        <w:rPr>
          <w:vertAlign w:val="subscript"/>
        </w:rPr>
        <w:t>x</w:t>
      </w:r>
      <w:r>
        <w:rPr/>
        <w:t xml:space="preserve"> allowance levels do not reach predetermined levels through the declining allocation process by 2008 (4.5 MMtons for SO</w:t>
      </w:r>
      <w:r>
        <w:rPr>
          <w:vertAlign w:val="subscript"/>
        </w:rPr>
        <w:t>2</w:t>
      </w:r>
      <w:r>
        <w:rPr/>
        <w:t xml:space="preserve"> and 2 MMtons for NO</w:t>
      </w:r>
      <w:r>
        <w:rPr>
          <w:vertAlign w:val="subscript"/>
        </w:rPr>
        <w:t>x</w:t>
      </w:r>
      <w:r>
        <w:rPr/>
        <w:t>), the levels are ratcheted to those levels and the program is reset to decline from there.  A plant level maximum emission level (lb/MWh) for mercury is determined by EPA and applied in 2008 in addition to the declining allocation to avoid hot spots and provide a backstop.</w:t>
      </w:r>
    </w:p>
    <w:p>
      <w:pPr>
        <w:pStyle w:val="Normal"/>
        <w:spacing w:lineRule="auto" w:line="240"/>
        <w:rPr/>
      </w:pPr>
      <w:r>
        <w:rPr/>
      </w:r>
    </w:p>
    <w:p>
      <w:pPr>
        <w:pStyle w:val="Normal"/>
        <w:spacing w:lineRule="auto" w:line="240"/>
        <w:rPr>
          <w:b/>
        </w:rPr>
      </w:pPr>
      <w:r>
        <w:rPr>
          <w:b/>
        </w:rPr>
        <w:t>Section 7: Determining Total Allocation Baseline and Unit Allocation Baseline</w:t>
      </w:r>
    </w:p>
    <w:p>
      <w:pPr>
        <w:pStyle w:val="Normal"/>
        <w:spacing w:lineRule="auto" w:line="240"/>
        <w:rPr/>
      </w:pPr>
      <w:r>
        <w:rPr/>
        <w:t>Allowances will allocated based on output and will be allocated to all generators greater than 10 MW in capacity and to electricity end use efficiency (conservation) projects.  The initial allocation will be for the first 3 covered years based on generation in the three years prior to the enactment of the bill.  For subsequent years, allowances will be allocated annually two years in advance based on the three years of output prior to the allocation year.  Allocation will be based on:</w:t>
      </w:r>
    </w:p>
    <w:p>
      <w:pPr>
        <w:pStyle w:val="Bullet1"/>
        <w:numPr>
          <w:ilvl w:val="0"/>
          <w:numId w:val="2"/>
        </w:numPr>
        <w:rPr/>
      </w:pPr>
      <w:r>
        <w:rPr/>
        <w:t>Electric generation from electric only generators.</w:t>
      </w:r>
    </w:p>
    <w:p>
      <w:pPr>
        <w:pStyle w:val="Bullet1"/>
        <w:numPr>
          <w:ilvl w:val="0"/>
          <w:numId w:val="2"/>
        </w:numPr>
        <w:rPr/>
      </w:pPr>
      <w:r>
        <w:rPr/>
        <w:t>Electric plus thermal generation from CHP facilities.</w:t>
      </w:r>
    </w:p>
    <w:p>
      <w:pPr>
        <w:pStyle w:val="Bullet1"/>
        <w:numPr>
          <w:ilvl w:val="0"/>
          <w:numId w:val="2"/>
        </w:numPr>
        <w:rPr/>
      </w:pPr>
      <w:r>
        <w:rPr/>
        <w:t>Energy conserved at end use efficiency projects.</w:t>
      </w:r>
    </w:p>
    <w:p>
      <w:pPr>
        <w:pStyle w:val="Normal"/>
        <w:spacing w:lineRule="auto" w:line="240"/>
        <w:rPr/>
      </w:pPr>
      <w:r>
        <w:rPr/>
        <w:t xml:space="preserve">Electric and thermal generation will be measured directly.  Energy conservation will be subject to appropriate monitoring and verification protocols such as the North American Energy Measurement and Verification Protocol.  </w:t>
      </w:r>
    </w:p>
    <w:p>
      <w:pPr>
        <w:pStyle w:val="Normal"/>
        <w:spacing w:lineRule="auto" w:line="240"/>
        <w:rPr/>
      </w:pPr>
      <w:r>
        <w:rPr/>
      </w:r>
    </w:p>
    <w:p>
      <w:pPr>
        <w:pStyle w:val="Normal"/>
        <w:spacing w:lineRule="auto" w:line="240"/>
        <w:rPr>
          <w:b/>
        </w:rPr>
      </w:pPr>
      <w:r>
        <w:rPr>
          <w:b/>
        </w:rPr>
        <w:t>Section 8: Allocation of Allowances to Existing Affected Units</w:t>
      </w:r>
    </w:p>
    <w:p>
      <w:pPr>
        <w:pStyle w:val="Normal"/>
        <w:spacing w:lineRule="auto" w:line="240"/>
        <w:rPr/>
      </w:pPr>
      <w:r>
        <w:rPr/>
        <w:t>The allocation to existing generators and efficiency projects in each year will be proportional to each unit’s share of total generation.  For example, if a unit generates 1 percent of the total generation and efficiency, it will receive 1 percent of the total allowances for each emission.</w:t>
      </w:r>
    </w:p>
    <w:p>
      <w:pPr>
        <w:pStyle w:val="Normal"/>
        <w:spacing w:lineRule="auto" w:line="240"/>
        <w:rPr/>
      </w:pPr>
      <w:r>
        <w:rPr/>
      </w:r>
    </w:p>
    <w:p>
      <w:pPr>
        <w:pStyle w:val="Normal"/>
        <w:spacing w:lineRule="auto" w:line="240"/>
        <w:rPr>
          <w:b/>
        </w:rPr>
      </w:pPr>
      <w:r>
        <w:rPr>
          <w:b/>
        </w:rPr>
        <w:t>Section 9:  Allocation of Allowances for New Sources</w:t>
      </w:r>
    </w:p>
    <w:p>
      <w:pPr>
        <w:pStyle w:val="Normal"/>
        <w:spacing w:lineRule="auto" w:line="240"/>
        <w:rPr/>
      </w:pPr>
      <w:r>
        <w:rPr/>
        <w:t>A new source set aside will be established for each emission to provide allowances for new units until they establish a sufficient baseline to be included in the regular allocation.  The new source set aside will be 7 percent for the first 3 year allocation period and 3 percent for each annual reallocation following.  The allowances will be allocated to all new units on a prorated basis based on their share of new source generation but not greater than the rate of allocation to existing units in that year in lb/MWh.  Unused allowances will be carried over to future years.</w:t>
      </w:r>
    </w:p>
    <w:p>
      <w:pPr>
        <w:pStyle w:val="Normal"/>
        <w:spacing w:lineRule="auto" w:line="240"/>
        <w:rPr/>
      </w:pPr>
      <w:r>
        <w:rPr/>
      </w:r>
    </w:p>
    <w:p>
      <w:pPr>
        <w:pStyle w:val="Normal"/>
        <w:spacing w:lineRule="auto" w:line="240"/>
        <w:rPr>
          <w:b/>
        </w:rPr>
      </w:pPr>
      <w:r>
        <w:rPr>
          <w:b/>
        </w:rPr>
        <w:t>Section 10: Award of Additional Allowances to Early Reduction Projects</w:t>
      </w:r>
    </w:p>
    <w:p>
      <w:pPr>
        <w:pStyle w:val="Normal"/>
        <w:spacing w:lineRule="auto" w:line="240"/>
        <w:rPr/>
      </w:pPr>
      <w:r>
        <w:rPr/>
        <w:t>Affected units can create early reductions between the enactment of the bill and the first covered year.  The reductions must be surplus and quantifiable as determined by the Administrator.</w:t>
      </w:r>
    </w:p>
    <w:p>
      <w:pPr>
        <w:pStyle w:val="Normal"/>
        <w:spacing w:lineRule="auto" w:line="240"/>
        <w:rPr/>
      </w:pPr>
      <w:r>
        <w:rPr/>
      </w:r>
    </w:p>
    <w:p>
      <w:pPr>
        <w:pStyle w:val="Normal"/>
        <w:spacing w:lineRule="auto" w:line="240"/>
        <w:rPr>
          <w:b/>
        </w:rPr>
      </w:pPr>
      <w:r>
        <w:rPr>
          <w:b/>
        </w:rPr>
        <w:t>Section 11: Award of Allowances to New Emission Reduction Projects at Sources Other Than Affected Units</w:t>
      </w:r>
    </w:p>
    <w:p>
      <w:pPr>
        <w:pStyle w:val="Normal"/>
        <w:spacing w:lineRule="auto" w:line="240"/>
        <w:rPr/>
      </w:pPr>
      <w:r>
        <w:rPr/>
        <w:t>Sources outside of the program that make reductions in covered emissions can apply for credit in the program.  The Administrator will set criteria for ensuring that the reductions are surplus and quantifiable.  Allocations to these units will be in addition to the allocation levels set in Section 5.  If CO</w:t>
      </w:r>
      <w:r>
        <w:rPr>
          <w:vertAlign w:val="subscript"/>
        </w:rPr>
        <w:t>2</w:t>
      </w:r>
      <w:r>
        <w:rPr/>
        <w:t xml:space="preserve"> is included, credit is also given for sequestration and trading of qualified reductions from international trading programs.</w:t>
      </w:r>
    </w:p>
    <w:p>
      <w:pPr>
        <w:pStyle w:val="Normal"/>
        <w:spacing w:lineRule="auto" w:line="240"/>
        <w:rPr/>
      </w:pPr>
      <w:r>
        <w:rPr/>
      </w:r>
    </w:p>
    <w:p>
      <w:pPr>
        <w:pStyle w:val="Normal"/>
        <w:spacing w:lineRule="auto" w:line="240"/>
        <w:rPr>
          <w:b/>
        </w:rPr>
      </w:pPr>
      <w:r>
        <w:rPr>
          <w:b/>
        </w:rPr>
        <w:t>Section 12: Schedule of Actions</w:t>
      </w:r>
    </w:p>
    <w:p>
      <w:pPr>
        <w:pStyle w:val="Normal"/>
        <w:spacing w:lineRule="auto" w:line="240"/>
        <w:rPr/>
      </w:pPr>
      <w:r>
        <w:rPr/>
        <w:t>Sets the schedule of reporting, allowance retirement and reallocation activities in each year.</w:t>
      </w:r>
    </w:p>
    <w:p>
      <w:pPr>
        <w:pStyle w:val="Normal"/>
        <w:spacing w:lineRule="auto" w:line="240"/>
        <w:rPr/>
      </w:pPr>
      <w:r>
        <w:rPr/>
      </w:r>
    </w:p>
    <w:p>
      <w:pPr>
        <w:pStyle w:val="Normal"/>
        <w:spacing w:lineRule="auto" w:line="240"/>
        <w:rPr>
          <w:b/>
        </w:rPr>
      </w:pPr>
      <w:r>
        <w:rPr>
          <w:b/>
        </w:rPr>
        <w:t>Section 13: Opt-In</w:t>
      </w:r>
    </w:p>
    <w:p>
      <w:pPr>
        <w:pStyle w:val="Normal"/>
        <w:spacing w:lineRule="auto" w:line="240"/>
        <w:rPr/>
      </w:pPr>
      <w:r>
        <w:rPr/>
        <w:t xml:space="preserve">Electric generators smaller than the 10 MW threshold can choose to opt into the program.  The program allowable emission level for each pollutant will be increased by the recent actual emission level for each opted-in unit.  </w:t>
      </w:r>
    </w:p>
    <w:p>
      <w:pPr>
        <w:pStyle w:val="Normal"/>
        <w:spacing w:lineRule="auto" w:line="240"/>
        <w:rPr/>
      </w:pPr>
      <w:r>
        <w:rPr/>
      </w:r>
    </w:p>
    <w:p>
      <w:pPr>
        <w:pStyle w:val="Normal"/>
        <w:spacing w:lineRule="auto" w:line="240"/>
        <w:rPr>
          <w:b/>
        </w:rPr>
      </w:pPr>
      <w:r>
        <w:rPr>
          <w:b/>
        </w:rPr>
        <w:t>Section 14: Enforcement</w:t>
      </w:r>
    </w:p>
    <w:p>
      <w:pPr>
        <w:pStyle w:val="Normal"/>
        <w:spacing w:lineRule="auto" w:line="240"/>
        <w:rPr/>
      </w:pPr>
      <w:r>
        <w:rPr/>
        <w:t>A unit that does not have enough allowances to cover its emissions on the settlement date will be penalized three times as many allowances in the following year.  It may also be subject to civil penalties up to $25,000/day for the covered year.</w:t>
      </w:r>
    </w:p>
    <w:p>
      <w:pPr>
        <w:pStyle w:val="Normal"/>
        <w:spacing w:lineRule="auto" w:line="240"/>
        <w:rPr/>
      </w:pPr>
      <w:r>
        <w:rPr/>
      </w:r>
    </w:p>
    <w:p>
      <w:pPr>
        <w:pStyle w:val="Normal"/>
        <w:spacing w:lineRule="auto" w:line="240"/>
        <w:rPr>
          <w:b/>
        </w:rPr>
      </w:pPr>
      <w:r>
        <w:rPr>
          <w:b/>
        </w:rPr>
        <w:t>Section 15: Administering Allowances</w:t>
      </w:r>
    </w:p>
    <w:p>
      <w:pPr>
        <w:pStyle w:val="Normal"/>
        <w:spacing w:lineRule="auto" w:line="240"/>
        <w:rPr/>
      </w:pPr>
      <w:r>
        <w:rPr/>
        <w:t>The Administrator shall develop regulations for the administration of the allowance systems, allocations, transfer and use of allowances.</w:t>
      </w:r>
    </w:p>
    <w:p>
      <w:pPr>
        <w:pStyle w:val="Normal"/>
        <w:spacing w:lineRule="auto" w:line="240"/>
        <w:rPr/>
      </w:pPr>
      <w:r>
        <w:rPr/>
      </w:r>
    </w:p>
    <w:p>
      <w:pPr>
        <w:pStyle w:val="Normal"/>
        <w:spacing w:lineRule="auto" w:line="240"/>
        <w:rPr>
          <w:b/>
        </w:rPr>
      </w:pPr>
      <w:r>
        <w:rPr>
          <w:b/>
        </w:rPr>
        <w:t>Section 16: Treatment of Existing Allowances</w:t>
      </w:r>
    </w:p>
    <w:p>
      <w:pPr>
        <w:pStyle w:val="Normal"/>
        <w:spacing w:lineRule="auto" w:line="240"/>
        <w:rPr/>
      </w:pPr>
      <w:r>
        <w:rPr/>
        <w:t>Title IV SO</w:t>
      </w:r>
      <w:r>
        <w:rPr>
          <w:vertAlign w:val="subscript"/>
        </w:rPr>
        <w:t>2</w:t>
      </w:r>
      <w:r>
        <w:rPr/>
        <w:t xml:space="preserve"> and state and Federal NO</w:t>
      </w:r>
      <w:r>
        <w:rPr>
          <w:vertAlign w:val="subscript"/>
        </w:rPr>
        <w:t>x</w:t>
      </w:r>
      <w:r>
        <w:rPr/>
        <w:t xml:space="preserve"> allowances issued for use prior to beginning of the first covered year will be accepted in the program.  Later vintages will not.</w:t>
      </w:r>
    </w:p>
    <w:p>
      <w:pPr>
        <w:pStyle w:val="Normal"/>
        <w:spacing w:lineRule="auto" w:line="240"/>
        <w:rPr/>
      </w:pPr>
      <w:r>
        <w:rPr/>
      </w:r>
    </w:p>
    <w:p>
      <w:pPr>
        <w:pStyle w:val="Normal"/>
        <w:spacing w:lineRule="auto" w:line="240"/>
        <w:rPr>
          <w:b/>
        </w:rPr>
      </w:pPr>
      <w:r>
        <w:rPr>
          <w:b/>
        </w:rPr>
        <w:t>Section 17: Permit Requirements</w:t>
      </w:r>
    </w:p>
    <w:p>
      <w:pPr>
        <w:pStyle w:val="Normal"/>
        <w:spacing w:lineRule="auto" w:line="240"/>
        <w:rPr/>
      </w:pPr>
      <w:r>
        <w:rPr/>
        <w:t>Affected sources must modify their operating permits to be consistent with the program.</w:t>
      </w:r>
    </w:p>
    <w:p>
      <w:pPr>
        <w:pStyle w:val="Normal"/>
        <w:spacing w:lineRule="auto" w:line="240"/>
        <w:rPr/>
      </w:pPr>
      <w:r>
        <w:rPr/>
      </w:r>
    </w:p>
    <w:p>
      <w:pPr>
        <w:pStyle w:val="Normal"/>
        <w:spacing w:lineRule="auto" w:line="240"/>
        <w:rPr>
          <w:b/>
        </w:rPr>
      </w:pPr>
      <w:r>
        <w:rPr>
          <w:b/>
        </w:rPr>
        <w:t>Section 18: Emissions Monitoring</w:t>
      </w:r>
    </w:p>
    <w:p>
      <w:pPr>
        <w:pStyle w:val="Normal"/>
        <w:spacing w:lineRule="auto" w:line="240"/>
        <w:rPr/>
      </w:pPr>
      <w:r>
        <w:rPr/>
        <w:t>Affected units subject Part 75 or Part 96 or Part 97 monitoring requirements can use those systems.  Mercury monitoring protocols will be developed.  The administrator will develop new methods for other sources as needed including simplified monitoring methods for units smaller than 10 MW.</w:t>
      </w:r>
    </w:p>
    <w:p>
      <w:pPr>
        <w:pStyle w:val="Normal"/>
        <w:spacing w:lineRule="auto" w:line="240"/>
        <w:rPr/>
      </w:pPr>
      <w:r>
        <w:rPr/>
      </w:r>
    </w:p>
    <w:p>
      <w:pPr>
        <w:pStyle w:val="Normal"/>
        <w:spacing w:lineRule="auto" w:line="240"/>
        <w:rPr>
          <w:b/>
        </w:rPr>
      </w:pPr>
      <w:r>
        <w:rPr>
          <w:b/>
        </w:rPr>
        <w:t>Section 19: Relationship to Existing Law</w:t>
      </w:r>
    </w:p>
    <w:p>
      <w:pPr>
        <w:pStyle w:val="Normal"/>
        <w:spacing w:lineRule="auto" w:line="240"/>
        <w:rPr/>
      </w:pPr>
      <w:r>
        <w:rPr/>
        <w:t>This bill will not affect the energy regulation of power generators.  Units affected under this program will be exempted from the NSR/PSD BACT/LAER and offset requirements for new or modified sources.  They will also be excluded from the acid rain, regional haze, regional NO</w:t>
      </w:r>
      <w:r>
        <w:rPr>
          <w:vertAlign w:val="subscript"/>
        </w:rPr>
        <w:t>x</w:t>
      </w:r>
      <w:r>
        <w:rPr/>
        <w:t xml:space="preserve"> and mercury MACT programs currently targeting these pollutants.  NSPS and local NAAQS impacts requirements would still apply.</w:t>
      </w:r>
    </w:p>
    <w:p>
      <w:pPr>
        <w:pStyle w:val="Normal"/>
        <w:spacing w:lineRule="auto" w:line="240"/>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rPr/>
      </w:pPr>
      <w:r>
        <w:rPr/>
      </w:r>
    </w:p>
    <w:sectPr>
      <w:type w:val="nextPage"/>
      <w:pgSz w:w="12240" w:h="15840"/>
      <w:pgMar w:left="1440" w:right="144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240"/>
      <w:jc w:val="center"/>
      <w:outlineLvl w:val="0"/>
    </w:pPr>
    <w:rPr>
      <w:b/>
      <w:sz w:val="2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St1z0">
    <w:name w:val="WW8NumSt1z0"/>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numPr>
        <w:ilvl w:val="0"/>
        <w:numId w:val="3"/>
      </w:numPr>
      <w:spacing w:lineRule="auto" w:line="240" w:before="0" w:after="120"/>
      <w:ind w:hanging="360" w:start="720" w:end="0"/>
    </w:pPr>
    <w:rPr/>
  </w:style>
  <w:style w:type="paragraph" w:styleId="Bullet2">
    <w:name w:val="Bullet #2"/>
    <w:basedOn w:val="Bullet1"/>
    <w:qFormat/>
    <w:pPr>
      <w:numPr>
        <w:ilvl w:val="0"/>
        <w:numId w:val="4"/>
      </w:numPr>
      <w:ind w:hanging="360" w:start="1080" w:end="0"/>
    </w:pPr>
    <w:rPr/>
  </w:style>
  <w:style w:type="paragraph" w:styleId="Bullet3">
    <w:name w:val="Bullet #3"/>
    <w:basedOn w:val="Bullet2"/>
    <w:qFormat/>
    <w:pPr>
      <w:numPr>
        <w:ilvl w:val="0"/>
        <w:numId w:val="5"/>
      </w:numPr>
      <w:ind w:hanging="360" w:start="1440" w:end="0"/>
    </w:pPr>
    <w:rPr/>
  </w:style>
  <w:style w:type="paragraph" w:styleId="EEAHead1">
    <w:name w:val="EEAHead1"/>
    <w:basedOn w:val="Normal"/>
    <w:qFormat/>
    <w:pPr>
      <w:tabs>
        <w:tab w:val="left" w:pos="720" w:leader="none"/>
      </w:tabs>
      <w:spacing w:before="0" w:after="120"/>
    </w:pPr>
    <w:rPr>
      <w:b/>
      <w:caps/>
    </w:rPr>
  </w:style>
  <w:style w:type="paragraph" w:styleId="EEAHead2">
    <w:name w:val="EEAHead2"/>
    <w:basedOn w:val="EEAHead1"/>
    <w:qFormat/>
    <w:pPr/>
    <w:rPr>
      <w:caps w:val="false"/>
      <w:smallCaps w:val="fals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EEAOPEN1</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2001-07-20T09:50:00Z</dcterms:created>
  <dc:creator>Joel Bluestein</dc:creator>
  <dc:description/>
  <dc:language>en-CA</dc:language>
  <cp:lastModifiedBy>jkeeler</cp:lastModifiedBy>
  <cp:lastPrinted>2001-07-31T09:15:00Z</cp:lastPrinted>
  <dcterms:modified xsi:type="dcterms:W3CDTF">2001-08-09T14:53:00Z</dcterms:modified>
  <cp:revision>18</cp:revision>
  <dc:subject/>
  <dc:title>Section by Section Summary</dc:title>
</cp:coreProperties>
</file>