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center"/>
        <w:rPr>
          <w:b/>
        </w:rPr>
      </w:pPr>
      <w:r>
        <w:rPr>
          <w:b/>
        </w:rPr>
      </w:r>
    </w:p>
    <w:p>
      <w:pPr>
        <w:pStyle w:val="Heading1"/>
        <w:spacing w:lineRule="auto" w:line="480"/>
        <w:ind w:hanging="0" w:start="0"/>
        <w:jc w:val="center"/>
        <w:rPr>
          <w:b/>
          <w:sz w:val="28"/>
        </w:rPr>
      </w:pPr>
      <w:r>
        <w:rPr>
          <w:b/>
          <w:sz w:val="28"/>
        </w:rPr>
        <w:t>Pacific Gas and Electric Company</w:t>
      </w:r>
    </w:p>
    <w:p>
      <w:pPr>
        <w:pStyle w:val="Heading1"/>
        <w:spacing w:lineRule="auto" w:line="480"/>
        <w:ind w:hanging="0" w:start="0"/>
        <w:jc w:val="center"/>
        <w:rPr>
          <w:b/>
          <w:sz w:val="28"/>
        </w:rPr>
      </w:pPr>
      <w:r>
        <w:rPr>
          <w:b/>
          <w:sz w:val="28"/>
        </w:rPr>
        <w:t>Proposal to Implement the</w:t>
      </w:r>
    </w:p>
    <w:p>
      <w:pPr>
        <w:pStyle w:val="Heading1"/>
        <w:spacing w:lineRule="auto" w:line="480"/>
        <w:ind w:hanging="0" w:start="0"/>
        <w:jc w:val="center"/>
        <w:rPr/>
      </w:pPr>
      <w:r>
        <w:rPr>
          <w:b/>
          <w:sz w:val="28"/>
        </w:rPr>
        <w:t>Interim California Procurement Adjustment</w:t>
      </w:r>
      <w:r>
        <w:rPr>
          <w:b/>
        </w:rPr>
        <w:t xml:space="preserve"> </w:t>
      </w:r>
    </w:p>
    <w:p>
      <w:pPr>
        <w:pStyle w:val="Heading1"/>
        <w:spacing w:lineRule="auto" w:line="480"/>
        <w:ind w:hanging="0" w:start="0"/>
        <w:jc w:val="center"/>
        <w:rPr>
          <w:b/>
        </w:rPr>
      </w:pPr>
      <w:r>
        <w:rPr>
          <w:b/>
        </w:rPr>
      </w:r>
    </w:p>
    <w:p>
      <w:pPr>
        <w:pStyle w:val="Normal"/>
        <w:spacing w:lineRule="auto" w:line="480"/>
        <w:rPr>
          <w:rFonts w:ascii="Arial" w:hAnsi="Arial" w:cs="Arial"/>
          <w:b/>
          <w:sz w:val="24"/>
        </w:rPr>
      </w:pPr>
      <w:r>
        <w:rPr>
          <w:rFonts w:cs="Arial" w:ascii="Arial" w:hAnsi="Arial"/>
          <w:b/>
          <w:sz w:val="24"/>
        </w:rPr>
      </w:r>
    </w:p>
    <w:p>
      <w:pPr>
        <w:pStyle w:val="Heading6"/>
        <w:ind w:hanging="0" w:start="0"/>
        <w:rPr/>
      </w:pPr>
      <w:r>
        <w:rPr/>
        <w:t xml:space="preserve">A.  </w:t>
      </w:r>
      <w:r>
        <w:rPr>
          <w:u w:val="single"/>
        </w:rPr>
        <w:t>INTRODUCTION</w:t>
      </w:r>
    </w:p>
    <w:p>
      <w:pPr>
        <w:pStyle w:val="BodyTextIndent"/>
        <w:rPr/>
      </w:pPr>
      <w:r>
        <w:rPr/>
        <w:t>Pursuant to the Administrative Law Judge’s (ALJ) February 9, 2001, Ruling Setting a Schedule for Developing an Interim California Procurement Adjustment and Soliciting Information on Baseline Usage (ALJ Ruling), Pacific Gas and Electric Company (PG&amp;E) hereby submits its proposal for an interim California Procurement Adjustment (CPA).  As described in the ALJ’s Ruling, the interim CPA to be established on March 27, 2001, will be subject to retroactive true-up following hearings in a later phase of the Rate Stabilization Plan Proceeding (RSP) in Application 00-11-038, et al.</w:t>
      </w:r>
    </w:p>
    <w:p>
      <w:pPr>
        <w:pStyle w:val="Heading1"/>
        <w:spacing w:lineRule="auto" w:line="480"/>
        <w:ind w:hanging="0" w:start="0"/>
        <w:rPr/>
      </w:pPr>
      <w:r>
        <w:rPr>
          <w:b/>
        </w:rPr>
        <w:t xml:space="preserve">B.  </w:t>
      </w:r>
      <w:r>
        <w:rPr>
          <w:b/>
          <w:u w:val="single"/>
        </w:rPr>
        <w:t>BACKGROUND</w:t>
      </w:r>
    </w:p>
    <w:p>
      <w:pPr>
        <w:pStyle w:val="BodyTextIndent"/>
        <w:rPr/>
      </w:pPr>
      <w:r>
        <w:rPr/>
        <w:t xml:space="preserve">On February 1, 2001, Assembly Bill No. 1 from the First Extraordinary session (AB 1X-1) was signed into law to alleviate the energy crisis in California.  AB 1X-1 authorizes the Department of Water Resources (DWR) to enter into contracts for the purchase of electric power to cover PG&amp;E’s entire net short position.  The bill authorizes DWR to sell power directly to retail bundled end-use customers, with certain exceptions, and to local publicly owned electric utilities at not more than the acquisition costs.  </w:t>
      </w:r>
    </w:p>
    <w:p>
      <w:pPr>
        <w:pStyle w:val="Normal"/>
        <w:spacing w:lineRule="auto" w:line="480"/>
        <w:ind w:firstLine="360" w:end="0"/>
        <w:rPr>
          <w:rFonts w:ascii="Arial" w:hAnsi="Arial" w:cs="Arial"/>
          <w:sz w:val="24"/>
        </w:rPr>
      </w:pPr>
      <w:r>
        <w:rPr>
          <w:rFonts w:cs="Arial" w:ascii="Arial" w:hAnsi="Arial"/>
          <w:sz w:val="24"/>
        </w:rPr>
        <w:t xml:space="preserve">Per Section 360.5 of AB 1X-1, “The Commission shall determine that portion of each existing electrical corporation’s retail rate effective on January 5, 2001, that is equal to the difference between the generation related component of the retail rate and the sum of the costs of the utility’s own generation, qualifying facility contracts, existing bilateral contracts, and ancillary services and any other ISO related charges or credits.  That portion of the retail rate shall be known as the California Procurement Adjustment.” (AB 1X-1 Legislation)  The intent of AB 1X-1 is for the DWR to purchase PG&amp;E’s entire net short position, i.e., that portion of PG&amp;E’s load that PG&amp;E is unable to serve from its own retained generation and pre-existing procurement arrangements (hereafter “generation related costs”).  PG&amp;E is required to distribute the electric power purchased by DWR to its customers.  Prior to determining its actual revenue requirement to be recovered directly from customers under Section 80110 of the Water Code, DWR will receive, as a set-aside, any residual revenues for the energy it purchases after PG&amp;E has recovered the authorized cost of its retained generation and other procurement obligations.  These residual revenues are determined as the CPA described in Section C. </w:t>
      </w:r>
    </w:p>
    <w:p>
      <w:pPr>
        <w:pStyle w:val="Normal"/>
        <w:spacing w:lineRule="auto" w:line="480"/>
        <w:ind w:firstLine="360" w:end="0"/>
        <w:rPr/>
      </w:pPr>
      <w:r>
        <w:rPr>
          <w:rFonts w:cs="Arial" w:ascii="Arial" w:hAnsi="Arial"/>
          <w:sz w:val="24"/>
        </w:rPr>
        <w:t>On February 5, 2001, ALJ DeUlloa issued a ruling setting a prehearing conference on February 6, 2001, to discuss the requirements of the Department of Finance for implementing AB 1X-1.  The ALJ ruling also set workshops</w:t>
      </w:r>
      <w:r>
        <w:rPr>
          <w:rStyle w:val="FootnoteCharacters"/>
          <w:rStyle w:val="FootnoteReference"/>
          <w:rFonts w:cs="Arial" w:ascii="Arial" w:hAnsi="Arial"/>
          <w:sz w:val="24"/>
        </w:rPr>
        <w:footnoteReference w:id="2"/>
      </w:r>
      <w:r>
        <w:rPr>
          <w:rFonts w:cs="Arial" w:ascii="Arial" w:hAnsi="Arial"/>
          <w:sz w:val="24"/>
        </w:rPr>
        <w:t xml:space="preserve"> on February 6 and 7 for the implementation of AB 1X-1 and a second prehearing conference on February 7 to discuss workshop progress.  As a result of the workshops, utilities were requested to provide a preliminary and illustrative spreadsheet analysis presenting a CPA methodology to develop residual revenues available to DWR for the set-aside required under Section 360.5.  On February 9, 2001, PG&amp;E submitted a preliminary and illustrative spreadsheet analysis that provided a conceptual basis for developing the CPA.  The analysis proposed a methodology for the CPA calculation under various assumptions.</w:t>
      </w:r>
      <w:r>
        <w:rPr>
          <w:rStyle w:val="FootnoteCharacters"/>
          <w:rStyle w:val="FootnoteReference"/>
          <w:rFonts w:cs="Arial" w:ascii="Arial" w:hAnsi="Arial"/>
          <w:sz w:val="24"/>
        </w:rPr>
        <w:footnoteReference w:id="3"/>
      </w:r>
      <w:r>
        <w:rPr>
          <w:rFonts w:cs="Arial" w:ascii="Arial" w:hAnsi="Arial"/>
          <w:sz w:val="24"/>
        </w:rPr>
        <w:t xml:space="preserve">  A subsequent workshop was held on February 13 to review the CPA proposal.</w:t>
      </w:r>
    </w:p>
    <w:p>
      <w:pPr>
        <w:pStyle w:val="Heading4"/>
        <w:ind w:hanging="0" w:start="0"/>
        <w:rPr/>
      </w:pPr>
      <w:r>
        <w:rPr>
          <w:u w:val="none"/>
        </w:rPr>
        <w:t xml:space="preserve">C.  </w:t>
      </w:r>
      <w:r>
        <w:rPr/>
        <w:t>CPA MECHANISM</w:t>
      </w:r>
    </w:p>
    <w:p>
      <w:pPr>
        <w:pStyle w:val="Normal"/>
        <w:spacing w:lineRule="auto" w:line="480"/>
        <w:ind w:firstLine="360" w:end="0"/>
        <w:rPr>
          <w:rFonts w:ascii="Arial" w:hAnsi="Arial" w:cs="Arial"/>
          <w:sz w:val="24"/>
        </w:rPr>
      </w:pPr>
      <w:r>
        <w:rPr>
          <w:rFonts w:cs="Arial" w:ascii="Arial" w:hAnsi="Arial"/>
          <w:sz w:val="24"/>
        </w:rPr>
        <w:t xml:space="preserve">Described generally, the CPA established by Public Utilities (PU) Code Section 360.5 determines the amount of net revenues, if any, received from PG&amp;E’s retail end-use customers under rates effective January 5, 2001, to be set aside for DWR.  As described in PG&amp;E’s February 9, 2001, proposal on calculating the CPA amount, the CPA is determined by first subtracting PG&amp;E’s costs and other adjustments from its gross generation revenues to determine PG&amp;E’s generation-related component of its revenues, then subtracting its generation-related costs to determine the CPA.  Any remaining overcollected balance at the end of each month is the CPA amount to be provided to DWR.  The rates for PG&amp;E’s transmission (including reliability services), distribution, nuclear decommissioning, the fixed transition amount (FTA), and public purpose programs are not part of the CPA mechanism.  The rates for these components will continue to be collected under the existing rate structure.  </w:t>
      </w:r>
    </w:p>
    <w:p>
      <w:pPr>
        <w:pStyle w:val="Heading4"/>
        <w:ind w:hanging="0" w:start="0"/>
        <w:rPr/>
      </w:pPr>
      <w:r>
        <w:rPr>
          <w:u w:val="none"/>
        </w:rPr>
        <w:t xml:space="preserve">1.  </w:t>
      </w:r>
      <w:r>
        <w:rPr/>
        <w:t>Generation-Related Component</w:t>
      </w:r>
    </w:p>
    <w:p>
      <w:pPr>
        <w:pStyle w:val="BodyTextIndent"/>
        <w:rPr/>
      </w:pPr>
      <w:r>
        <w:rPr/>
        <w:t xml:space="preserve">Currently, PG&amp;E’s rates are separated into generation and non-generation components.  The generation revenues for PG&amp;E’s residential and small commercial customers are reduced by the amount of the 10 percent bill credit from their generation rate revenues for 2001.  </w:t>
      </w:r>
    </w:p>
    <w:p>
      <w:pPr>
        <w:pStyle w:val="BodyTextIndent"/>
        <w:rPr/>
      </w:pPr>
      <w:r>
        <w:rPr/>
        <w:t xml:space="preserve">Revenues produced from the generation rate component are currently available to pay for the generation-related portion of Franchise Fees &amp; Uncollectible (FF&amp;U) costs and energy procurement costs.  Any generation revenues that remain after paying for the above items are available to pay for transition costs recorded in the Transition Cost Balancing Account (TCBA).  </w:t>
      </w:r>
    </w:p>
    <w:p>
      <w:pPr>
        <w:pStyle w:val="BodyTextIndent"/>
        <w:rPr/>
      </w:pPr>
      <w:r>
        <w:rPr/>
        <w:t>Effective January 5, 2001, PG&amp;E implemented an Emergency Procurement Surcharge (EPS) of one cent per kWh.  The purpose of the EPS rate is to increase the Company’s electric revenues and improve its ability to cover the ongoing electric procurement costs in the wholesale electric markets.  This surcharge is part of the generation-related rate as of January 5, 2001.  The surcharge revenues are currently available to pay for the surcharge portion of FF&amp;U costs and on-going procurement costs.</w:t>
      </w:r>
    </w:p>
    <w:p>
      <w:pPr>
        <w:pStyle w:val="BodyTextIndent"/>
        <w:rPr/>
      </w:pPr>
      <w:r>
        <w:rPr/>
        <w:t>Beginning on the effective date of the interim CPA, PG&amp;E will determine the amount of generation-related revenues by adjusting its recorded gross generation revenues each month.  This calculation will be based on the generation rate component in effect, as described further in Section F, and increased by the EPS.  The gross generation revenues will then be adjusted by the following:   (1) FF&amp;U expense calculated based on the currently adopted Commission factor; (2) direct access credit; (3) other eligible remaining transition costs or credits related to generation and restructuring; and (4) imputed rate reduction bond revenue until the benefits of the rate reduction bond revenues have been fully returned to the ratepayers under the Commission’s authorized mechanisms</w:t>
      </w:r>
      <w:r>
        <w:rPr>
          <w:rStyle w:val="FootnoteCharacters"/>
          <w:rStyle w:val="FootnoteReference"/>
        </w:rPr>
        <w:footnoteReference w:id="4"/>
      </w:r>
      <w:r>
        <w:rPr/>
        <w:t xml:space="preserve"> (i.e., 10 percent rate reduction and FTA).</w:t>
      </w:r>
    </w:p>
    <w:p>
      <w:pPr>
        <w:pStyle w:val="Heading4"/>
        <w:ind w:hanging="0" w:start="0"/>
        <w:rPr/>
      </w:pPr>
      <w:r>
        <w:rPr>
          <w:u w:val="none"/>
        </w:rPr>
        <w:t xml:space="preserve">2.  </w:t>
      </w:r>
      <w:r>
        <w:rPr/>
        <w:t>CPA Amount</w:t>
      </w:r>
    </w:p>
    <w:p>
      <w:pPr>
        <w:pStyle w:val="BodyTextIndent"/>
        <w:rPr/>
      </w:pPr>
      <w:r>
        <w:rPr/>
        <w:t>On a monthly basis, the following components will be deducted from PG&amp;E’s recorded generation-related revenues as described above to determine the amount of the CPA:</w:t>
      </w:r>
    </w:p>
    <w:p>
      <w:pPr>
        <w:pStyle w:val="Normal"/>
        <w:numPr>
          <w:ilvl w:val="0"/>
          <w:numId w:val="2"/>
        </w:numPr>
        <w:spacing w:lineRule="auto" w:line="480"/>
        <w:rPr>
          <w:rFonts w:ascii="Arial" w:hAnsi="Arial" w:cs="Arial"/>
          <w:sz w:val="24"/>
        </w:rPr>
      </w:pPr>
      <w:r>
        <w:rPr>
          <w:rFonts w:eastAsia="Arial" w:cs="Arial" w:ascii="Arial" w:hAnsi="Arial"/>
          <w:sz w:val="24"/>
        </w:rPr>
        <w:t xml:space="preserve"> </w:t>
      </w:r>
      <w:r>
        <w:rPr>
          <w:rFonts w:cs="Arial" w:ascii="Arial" w:hAnsi="Arial"/>
          <w:sz w:val="24"/>
        </w:rPr>
        <w:t>PG&amp;E’s authorized costs and revenue requirement for its retained generation assets</w:t>
      </w:r>
      <w:r>
        <w:rPr>
          <w:rStyle w:val="FootnoteCharacters"/>
          <w:rStyle w:val="FootnoteReference"/>
          <w:rFonts w:cs="Arial" w:ascii="Arial" w:hAnsi="Arial"/>
          <w:b/>
          <w:sz w:val="24"/>
        </w:rPr>
        <w:footnoteReference w:id="5"/>
      </w:r>
      <w:r>
        <w:rPr>
          <w:rFonts w:cs="Arial" w:ascii="Arial" w:hAnsi="Arial"/>
          <w:b/>
          <w:sz w:val="24"/>
        </w:rPr>
        <w:t xml:space="preserve">. </w:t>
      </w:r>
      <w:r>
        <w:rPr>
          <w:rFonts w:cs="Arial" w:ascii="Arial" w:hAnsi="Arial"/>
          <w:sz w:val="24"/>
        </w:rPr>
        <w:t xml:space="preserve">  This includes its hydroelectric facilities, fossil power plants, and Diablo Canyon Power Plant.  The authorized costs and revenue requirement for its retained generation assets include, but are not limited to: (1) recovery of capital related-costs equal to depreciation, taxes, and return on investment, (2) recovery of on-going operating costs for fuel, emission credits, operations and maintenance expenses, direct and indirect administrative and general expenses, and scheduling and dispatch costs, and (3) the authorized revenue requirement for assets, such as Diablo Canyon, subject to performance-based or other alternative ratemaking, e.g., the Incremental Cost Incentive Price (ICIP) for Diablo Canyon during the rate freeze and the benefit-sharing mechanism after the rate freeze. </w:t>
      </w:r>
    </w:p>
    <w:p>
      <w:pPr>
        <w:pStyle w:val="Normal"/>
        <w:numPr>
          <w:ilvl w:val="0"/>
          <w:numId w:val="2"/>
        </w:numPr>
        <w:spacing w:lineRule="auto" w:line="480"/>
        <w:rPr>
          <w:rFonts w:ascii="Arial" w:hAnsi="Arial" w:cs="Arial"/>
          <w:sz w:val="24"/>
        </w:rPr>
      </w:pPr>
      <w:r>
        <w:rPr>
          <w:rFonts w:eastAsia="Arial" w:cs="Arial" w:ascii="Arial" w:hAnsi="Arial"/>
          <w:sz w:val="24"/>
        </w:rPr>
        <w:t xml:space="preserve"> </w:t>
      </w:r>
      <w:r>
        <w:rPr>
          <w:rFonts w:cs="Arial" w:ascii="Arial" w:hAnsi="Arial"/>
          <w:sz w:val="24"/>
        </w:rPr>
        <w:t>Qualifying Facilities (QF) energy costs include, but are not limited to: (1) QF energy and capacity payments, (2) QF buyout payments, (3) QF administration, litigation and scheduling and dispatch costs, and (4) shareholder savings incentives.</w:t>
      </w:r>
    </w:p>
    <w:p>
      <w:pPr>
        <w:pStyle w:val="Normal"/>
        <w:numPr>
          <w:ilvl w:val="0"/>
          <w:numId w:val="2"/>
        </w:numPr>
        <w:spacing w:lineRule="auto" w:line="480"/>
        <w:rPr>
          <w:rFonts w:ascii="Arial" w:hAnsi="Arial" w:cs="Arial"/>
          <w:sz w:val="24"/>
        </w:rPr>
      </w:pPr>
      <w:r>
        <w:rPr>
          <w:rFonts w:cs="Arial" w:ascii="Arial" w:hAnsi="Arial"/>
          <w:sz w:val="24"/>
        </w:rPr>
        <w:t>Existing bilateral contract and other non-QF procurement-related costs include, but are not limited to: (1) payments to the irrigation districts, (2) administration and scheduling and dispatch costs, (3) Block-Forward Market contract costs, and (4) bilateral contract costs.</w:t>
      </w:r>
    </w:p>
    <w:p>
      <w:pPr>
        <w:pStyle w:val="Normal"/>
        <w:numPr>
          <w:ilvl w:val="0"/>
          <w:numId w:val="2"/>
        </w:numPr>
        <w:spacing w:lineRule="auto" w:line="480"/>
        <w:rPr>
          <w:rFonts w:ascii="Arial" w:hAnsi="Arial" w:cs="Arial"/>
          <w:color w:val="000000"/>
          <w:sz w:val="24"/>
        </w:rPr>
      </w:pPr>
      <w:r>
        <w:rPr>
          <w:rFonts w:cs="Arial" w:ascii="Arial" w:hAnsi="Arial"/>
          <w:color w:val="000000"/>
          <w:sz w:val="24"/>
        </w:rPr>
        <w:t>Independent System Operation (ISO) ancillary services and any other ISO related charges or credits, including but not limited to PG&amp;E's pro-rata share of ISO ancillary services for the portion of bundled load that PG&amp;E can satisfy with its own resources, net of any ISO ancillary services associated with PG&amp;E resources.  Ancillary services as defined by FERC consist of spinning reserve, non-spinning reserve,</w:t>
      </w:r>
      <w:r>
        <w:rPr>
          <w:rFonts w:cs="Arial" w:ascii="Arial" w:hAnsi="Arial"/>
          <w:color w:val="FF0000"/>
          <w:sz w:val="24"/>
        </w:rPr>
        <w:t xml:space="preserve"> </w:t>
      </w:r>
      <w:r>
        <w:rPr>
          <w:rFonts w:cs="Arial" w:ascii="Arial" w:hAnsi="Arial"/>
          <w:color w:val="000000"/>
          <w:sz w:val="24"/>
        </w:rPr>
        <w:t>and regulation.  Except for PG&amp;E’s pro-rata share of ancillary services and congestion charges to PG&amp;E, all other ISO charges such as replacement reserve, grid management charges, unaccounted for energy, imbalance energy, underscheduling</w:t>
      </w:r>
      <w:r>
        <w:rPr>
          <w:rFonts w:cs="Arial" w:ascii="Arial" w:hAnsi="Arial"/>
          <w:color w:val="000000"/>
        </w:rPr>
        <w:t xml:space="preserve"> </w:t>
      </w:r>
      <w:r>
        <w:rPr>
          <w:rFonts w:cs="Arial" w:ascii="Arial" w:hAnsi="Arial"/>
          <w:color w:val="000000"/>
          <w:sz w:val="24"/>
        </w:rPr>
        <w:t>penalty, ancillary services related to PG&amp;E’s net open position (i.e., that portion of PG&amp;E bundled load that is not met by PG&amp;E resources), neutrality, etc., shall be the responsibility of DWR.  However, given the current uncertainty regarding DWR’s role and due to billing lags by the ISO, PG&amp;E must estimate these costs subject to later revision.  If DWR takes responsibility for Ancillary Services and other ISO charges related to PG&amp;E’s net short position, PG&amp;E will reflect a lower amount for such costs in the calculation in the CPA.  If DWR does not take responsibility and PG&amp;E is legally responsible for such ISO charges, such costs will be included fully in this cost category.</w:t>
      </w:r>
    </w:p>
    <w:p>
      <w:pPr>
        <w:pStyle w:val="BodyTextIndent"/>
        <w:rPr/>
      </w:pPr>
      <w:r>
        <w:rPr>
          <w:color w:val="000000"/>
        </w:rPr>
        <w:t>The interim CPA described above reflects PG&amp;E’s proposal for determining the amount available to the DWR to be set aside for procuring power solely for PG&amp;E’s bundled customers.  At this time, it remains unclear whether DWR is procuring all of PG&amp;E’s net short position.  For example, PG&amp;E notes that a federal court hearing has revealed that DWR is only buying power that it finds reasonable priced, apparently leaving the remainder to be billed to PG&amp;E notwithstanding a FERC ruling apparently to the contrary.</w:t>
      </w:r>
      <w:r>
        <w:rPr>
          <w:rStyle w:val="FootnoteCharacters"/>
          <w:rStyle w:val="FootnoteReference"/>
          <w:color w:val="000000"/>
        </w:rPr>
        <w:footnoteReference w:id="6"/>
      </w:r>
      <w:r>
        <w:rPr>
          <w:color w:val="000000"/>
        </w:rPr>
        <w:t xml:space="preserve">  In addition, it is unclear as to what portion of certain costs (such as ancillary services and QF pricing reform) will be borne by PG&amp;E or DWR.  Therefore, the ultimate payments to DWR, i.e., residual revenue, will depend on the determination of cost responsibility legally borne by PG&amp;E in determining the revenues available to DWR.  Finally, in Application 00-11-056, PG&amp;E is requesting recovery of its </w:t>
      </w:r>
      <w:r>
        <w:rPr/>
        <w:t>undercollection in the TRA, including undercollected wholesale power costs attributable to procurement from the PX and ISO.  These costs are recoverable in retail rates under the Federal “filed rate” doctrine, and under D.99-10-057 to the extent incurred after PG&amp;E has met the conditions for ending the rate freeze. To the extent a rate component is established to allow PG&amp;E to recover all or some portion of its TRA undercollection, the rate component will be included in the generation-related costs to be recovered by PG&amp;E in determining the revenues available to DWR.</w:t>
      </w:r>
    </w:p>
    <w:p>
      <w:pPr>
        <w:pStyle w:val="Heading1"/>
        <w:spacing w:lineRule="auto" w:line="480" w:before="100" w:after="0"/>
        <w:ind w:hanging="0" w:start="0"/>
        <w:rPr/>
      </w:pPr>
      <w:r>
        <w:rPr>
          <w:b/>
        </w:rPr>
        <w:t xml:space="preserve">3.  </w:t>
      </w:r>
      <w:r>
        <w:rPr>
          <w:b/>
          <w:u w:val="single"/>
        </w:rPr>
        <w:t>Disposition of the Monthly Interim CPA Balance</w:t>
      </w:r>
    </w:p>
    <w:p>
      <w:pPr>
        <w:pStyle w:val="BodyTextIndent"/>
        <w:rPr/>
      </w:pPr>
      <w:r>
        <w:rPr/>
        <w:t>If the actual amounts recorded to the CPA results in an overcollection, PG&amp;E will transmit the residual amount to the DWR for deposit in the DWR’s Electric Power Fund, as established by Section 80200 of the Water Code.  If the amount recorded to the CPA results in an undercollection (i.e., recorded generation-related revenues are insufficient to recover items in Section C.2. above), the unrecovered balance will be carried over to subsequent months with accrued interest at the Federal Reserve short-term commercial paper rate until fully recovered through future months’ overcollections.  The interim CPA amount is subject to refund by the DWR and will be trued-up once a final CPA methodology is adopted by the Commission in the appropriate phase of the RSP proceeding (A. 00-11-056)</w:t>
      </w:r>
      <w:r>
        <w:rPr>
          <w:rStyle w:val="FootnoteCharacters"/>
          <w:rStyle w:val="FootnoteReference"/>
        </w:rPr>
        <w:footnoteReference w:id="7"/>
      </w:r>
      <w:r>
        <w:rPr/>
        <w:t>.  However, regardless of the CPA amount set aside for DWR under Section 360.5, DWR is able to obtain full recovery of its revenue requirement on a current basis through charges on customers’ bills under Section 80110 of the Water Code, subject to advising the Commission of the necessary amount.</w:t>
      </w:r>
    </w:p>
    <w:p>
      <w:pPr>
        <w:pStyle w:val="Heading4"/>
        <w:numPr>
          <w:ilvl w:val="0"/>
          <w:numId w:val="0"/>
        </w:numPr>
        <w:spacing w:before="100" w:after="0"/>
        <w:ind w:hanging="0" w:start="0"/>
        <w:rPr/>
      </w:pPr>
      <w:r>
        <w:rPr>
          <w:u w:val="none"/>
        </w:rPr>
        <w:t xml:space="preserve">4.  </w:t>
      </w:r>
      <w:r>
        <w:rPr/>
        <w:t>Existing Balancing and Memorandum Accounts</w:t>
      </w:r>
    </w:p>
    <w:p>
      <w:pPr>
        <w:pStyle w:val="BodyTextIndent"/>
        <w:rPr/>
      </w:pPr>
      <w:r>
        <w:rPr/>
        <w:t>On the effective date of the CPA mechanism, entries to PG&amp;E’s Transition Revenue Account (TRA), TCBA, and the Generation Memorandum Accounts (GMA) will terminate with the exception of those entries related to revenues earned and costs already incurred but not yet reflected in these accounts during the period prior to the effective date (e.g., adjustments due to billing lags).  PG&amp;E proposes that the TRA,</w:t>
      </w:r>
      <w:r>
        <w:rPr>
          <w:rStyle w:val="FootnoteCharacters"/>
          <w:rStyle w:val="FootnoteReference"/>
        </w:rPr>
        <w:footnoteReference w:id="8"/>
      </w:r>
      <w:r>
        <w:rPr/>
        <w:t xml:space="preserve"> TCBA and GMA accounts be eliminated upon final Commission authorization for the disposition of the balances accrued in those accounts.  In addition, PG&amp;E proposes that the capital-related costs associated with plant depreciation, related taxes, and return on investment on PG&amp;E’s generation assets which have been recovered through the TCBA and the GMA should continue to be recovered through the CPA mechanism.</w:t>
      </w:r>
    </w:p>
    <w:p>
      <w:pPr>
        <w:pStyle w:val="BodyTextIndent"/>
        <w:rPr/>
      </w:pPr>
      <w:r>
        <w:rPr/>
        <w:t xml:space="preserve">Furthermore, on the effective date of the CPA mechanism, the undercollected balance recorded in the EPS Balancing Account will be transferred to the TRA consistent with Decision 01-01-018.  The EPS Balancing Account will then be eliminated and the ongoing EPS revenues will be recorded in the CPA balancing account.  </w:t>
      </w:r>
    </w:p>
    <w:p>
      <w:pPr>
        <w:pStyle w:val="BodyTextIndent"/>
        <w:rPr/>
      </w:pPr>
      <w:r>
        <w:rPr/>
      </w:r>
    </w:p>
    <w:p>
      <w:pPr>
        <w:pStyle w:val="BodyTextIndent"/>
        <w:ind w:hanging="0" w:end="0"/>
        <w:rPr/>
      </w:pPr>
      <w:r>
        <w:rPr>
          <w:b/>
        </w:rPr>
        <w:t xml:space="preserve">D.  </w:t>
      </w:r>
      <w:r>
        <w:rPr>
          <w:b/>
          <w:u w:val="single"/>
        </w:rPr>
        <w:t>NON-GENERATION REVENUE REQUIREMENT</w:t>
      </w:r>
      <w:r>
        <w:rPr>
          <w:b/>
        </w:rPr>
        <w:t xml:space="preserve"> </w:t>
      </w:r>
    </w:p>
    <w:p>
      <w:pPr>
        <w:pStyle w:val="BodyTextIndent"/>
        <w:rPr/>
      </w:pPr>
      <w:r>
        <w:rPr/>
        <w:t>PG&amp;E’s non-generation revenue requirement will be determined through the appropriate CPUC or Federal Energy Regulatory Commission (FERC)-approved proceedings.  Future changes in non-generation rate components will neither increase nor decrease PG&amp;E’s generation-related rate components and associated revenues used to determine the CPA balance.</w:t>
      </w:r>
    </w:p>
    <w:p>
      <w:pPr>
        <w:pStyle w:val="BodyTextIndent"/>
        <w:rPr/>
      </w:pPr>
      <w:r>
        <w:rPr/>
        <w:t>With the termination of entries recorded in the TRA upon the effective date of the CPA mechanism, new non-generation balancing account mechanisms will be implemented, consistent with those adopted in Decision 99-10-057 and set forth in PG&amp;E’s Rate Stabilization Plan.</w:t>
      </w:r>
      <w:r>
        <w:rPr>
          <w:rStyle w:val="FootnoteCharacters"/>
          <w:rStyle w:val="FootnoteReference"/>
        </w:rPr>
        <w:footnoteReference w:id="9"/>
      </w:r>
      <w:r>
        <w:rPr/>
        <w:t xml:space="preserve">  These new non-generation balancing account mechanisms are:</w:t>
      </w:r>
    </w:p>
    <w:p>
      <w:pPr>
        <w:pStyle w:val="Normal"/>
        <w:spacing w:lineRule="auto" w:line="480"/>
        <w:ind w:start="720" w:end="0"/>
        <w:rPr>
          <w:rFonts w:ascii="Arial" w:hAnsi="Arial" w:cs="Arial"/>
          <w:sz w:val="24"/>
        </w:rPr>
      </w:pPr>
      <w:r>
        <w:rPr>
          <w:rFonts w:cs="Arial" w:ascii="Arial" w:hAnsi="Arial"/>
          <w:sz w:val="24"/>
        </w:rPr>
        <w:t>A.  Distribution Revenue Adjustment Mechanism (DRAM) – the purpose of DRAM is to record and recover the Commission-authorized distribution base revenue requirements and certain other distribution-related Commission-authorized costs.  Nuclear Decommissioning Adjustment Mechanism  (NDAM) – the purpose of NDAM is to record the Commission-authorized Diablo Canyon Nuclear Power Plant and Humboldt Power Plant Nuclear Unit 3 (Humboldt) nuclear decommissioning revenue requirements and Humboldt SAFSTOR operating and maintenance (O&amp;M) revenue requirements.</w:t>
      </w:r>
    </w:p>
    <w:p>
      <w:pPr>
        <w:pStyle w:val="Heading7"/>
        <w:keepNext w:val="false"/>
        <w:spacing w:lineRule="auto" w:line="480"/>
        <w:rPr/>
      </w:pPr>
      <w:r>
        <w:rPr/>
        <w:t>C.  Public Purpose Programs Revenue Adjustment Mechanism - (PPPRAM) – the purpose of the PPPRAM is to record the Commission-authorized PPP revenue requirements which are composed of funding for electric Energy Efficiency (EE) programs, Low-Income Energy Efficiency (LIEE) programs, California Alternate Rates for Energy (CARE) administration related costs, Research, Development and Demonstration (RD&amp;D) programs, and Renewables programs.</w:t>
      </w:r>
    </w:p>
    <w:p>
      <w:pPr>
        <w:pStyle w:val="Heading4"/>
        <w:numPr>
          <w:ilvl w:val="0"/>
          <w:numId w:val="3"/>
        </w:numPr>
        <w:spacing w:lineRule="auto" w:line="240" w:before="100" w:after="0"/>
        <w:rPr/>
      </w:pPr>
      <w:r>
        <w:rPr/>
        <w:t xml:space="preserve">INTERACTION WITH UTILITY RETAINED GENERATION (URG) </w:t>
      </w:r>
    </w:p>
    <w:p>
      <w:pPr>
        <w:pStyle w:val="Normal"/>
        <w:rPr/>
      </w:pPr>
      <w:r>
        <w:rPr/>
      </w:r>
    </w:p>
    <w:p>
      <w:pPr>
        <w:pStyle w:val="BodyTextIndent"/>
        <w:rPr/>
      </w:pPr>
      <w:r>
        <w:rPr/>
        <w:t xml:space="preserve">On January 31, 2001, the Commission issued Decision 01-01-061.  That decision was issued prior to AB 1X-1, and among other things, the decision addressed the price and use of retained generation for PG&amp;E, San Diego Gas and Electric (SDG&amp;E) and Southern California Edison (Edison).  The decision stated the need to establish an immediate framework on the utilities’ use and price of URG.  </w:t>
      </w:r>
    </w:p>
    <w:p>
      <w:pPr>
        <w:pStyle w:val="BodyTextIndent"/>
        <w:rPr/>
      </w:pPr>
      <w:r>
        <w:rPr/>
        <w:t>PG&amp;E believes that the signing of AB 1X-1 into law on the heels of Decision 01-01-061 necessitates the need to revisit the timeline and actions outlined in that decision.  Specifically, the decision requires that the utilities file an advice letter 30 days from January 31, 2001</w:t>
      </w:r>
      <w:r>
        <w:rPr>
          <w:rStyle w:val="FootnoteCharacters"/>
          <w:rStyle w:val="FootnoteReference"/>
        </w:rPr>
        <w:footnoteReference w:id="10"/>
      </w:r>
      <w:r>
        <w:rPr/>
        <w:t xml:space="preserve">, establishing a cost-based rate for its retained generation.  This rate would be subject to adjustment in a future phase of the RSP proceeding.  The existence of the CPA must account for PG&amp;E’s retained generation, which means that the URG is an explicit component of the CPA.  In addition, per the ALJ’s ruling dated February 9, 2001, PG&amp;E is required to file its CPA proposal on February 23, 2001, slightly more than a week before filing the URG advice letter.  The CPA, like the URG as required in Decision 01-01-061 is subject to later true-up upon a final determination of the CPA in a later phase of this proceeding.  </w:t>
      </w:r>
    </w:p>
    <w:p>
      <w:pPr>
        <w:pStyle w:val="Normal"/>
        <w:tabs>
          <w:tab w:val="clear" w:pos="720"/>
          <w:tab w:val="left" w:pos="90" w:leader="none"/>
          <w:tab w:val="left" w:pos="1800" w:leader="none"/>
        </w:tabs>
        <w:spacing w:lineRule="auto" w:line="480"/>
        <w:ind w:firstLine="540" w:end="0"/>
        <w:rPr>
          <w:rFonts w:ascii="Arial" w:hAnsi="Arial" w:cs="Arial"/>
          <w:sz w:val="22"/>
        </w:rPr>
      </w:pPr>
      <w:r>
        <w:rPr>
          <w:rFonts w:cs="Arial" w:ascii="Arial" w:hAnsi="Arial"/>
          <w:sz w:val="24"/>
        </w:rPr>
        <w:t xml:space="preserve">Under these circumstances, PG&amp;E believes these efforts are somewhat duplicative.  The final determination of the CPA and the ratemaking basis for PG&amp;E’s retained generation will be determined in a subsequent phase of the RSP proceeding.  </w:t>
      </w:r>
    </w:p>
    <w:p>
      <w:pPr>
        <w:pStyle w:val="Heading4"/>
        <w:ind w:hanging="0" w:start="0"/>
        <w:rPr/>
      </w:pPr>
      <w:r>
        <w:rPr>
          <w:u w:val="none"/>
        </w:rPr>
        <w:t xml:space="preserve">F.  </w:t>
      </w:r>
      <w:r>
        <w:rPr/>
        <w:t>RATE PROPOSAL</w:t>
      </w:r>
    </w:p>
    <w:p>
      <w:pPr>
        <w:pStyle w:val="BodyTextIndent"/>
        <w:rPr/>
      </w:pPr>
      <w:r>
        <w:rPr/>
        <w:t>To implement the proposal for the CPA, PG&amp;E proposes to replace both the calculation of energy charges pursuant to Schedule PX and the residual calculation of competition transition charges (CTC) with residual calculation of generation charges.  Since generation charges will be residual, Schedule PX will be terminated.  Draft changes to the rate schedules necessary to implement this proposal will be submitted to the Commission by March 2, 2001.</w:t>
      </w:r>
    </w:p>
    <w:p>
      <w:pPr>
        <w:pStyle w:val="Heading4"/>
        <w:ind w:hanging="0" w:start="0"/>
        <w:rPr/>
      </w:pPr>
      <w:r>
        <w:rPr>
          <w:rFonts w:eastAsia="Arial"/>
          <w:u w:val="none"/>
        </w:rPr>
        <w:t xml:space="preserve">  </w:t>
      </w:r>
      <w:r>
        <w:rPr>
          <w:u w:val="none"/>
        </w:rPr>
        <w:t xml:space="preserve">1.  </w:t>
      </w:r>
      <w:r>
        <w:rPr/>
        <w:t>Generation Charges</w:t>
      </w:r>
    </w:p>
    <w:p>
      <w:pPr>
        <w:pStyle w:val="BodyTextIndent"/>
        <w:rPr/>
      </w:pPr>
      <w:r>
        <w:rPr/>
        <w:t xml:space="preserve">The generation rate will be determined in the same manner as it is today as the bundled electric rate less transmission, reliability services, distribution, nuclear decommissioning, FTA, and public purpose programs.  Generation charges on a customer’s bill will be equal to the revenues derived from the generation rate shown in the rate schedule, adjusted for any credits or charges currently assigned to the generation component (e.g., the 10 percent legislated discount), plus the EPS. </w:t>
      </w:r>
    </w:p>
    <w:p>
      <w:pPr>
        <w:pStyle w:val="Heading4"/>
        <w:ind w:hanging="0" w:start="0"/>
        <w:rPr/>
      </w:pPr>
      <w:r>
        <w:rPr>
          <w:rFonts w:eastAsia="Arial"/>
          <w:u w:val="none"/>
        </w:rPr>
        <w:t xml:space="preserve">  </w:t>
      </w:r>
      <w:r>
        <w:rPr>
          <w:u w:val="none"/>
        </w:rPr>
        <w:t xml:space="preserve">2.  </w:t>
      </w:r>
      <w:r>
        <w:rPr/>
        <w:t>Bill Development and Presentation</w:t>
      </w:r>
    </w:p>
    <w:p>
      <w:pPr>
        <w:pStyle w:val="BodyTextIndent"/>
        <w:rPr/>
      </w:pPr>
      <w:r>
        <w:rPr/>
        <w:t xml:space="preserve">Total bundled electric rates as shown in each rate schedule will remain the same as they are today.  The EPS, or any other increase granted by AB 1X-1, will be achieved by modification of the rates shown in Schedule EPS.  The EPS and any AB 1X-1increase will be combined and shown on the bill.   The total of the EPS, any AB 1X-1 increase, and revenues derived from the generation rate, as adjusted by charges or credits currently assigned to generation, would then be shown as generation revenue in bill unbundling.  Table 1 provides an example of the bill development for 100 kWh of usage on Schedule A-1. </w:t>
      </w:r>
    </w:p>
    <w:p>
      <w:pPr>
        <w:pStyle w:val="BodyTextIndent"/>
        <w:spacing w:lineRule="auto" w:line="240"/>
        <w:ind w:hanging="0" w:end="0"/>
        <w:jc w:val="center"/>
        <w:rPr/>
      </w:pPr>
      <w:r>
        <w:rPr/>
        <w:t>Bill Development and Presentation</w:t>
      </w:r>
    </w:p>
    <w:p>
      <w:pPr>
        <w:pStyle w:val="BodyTextIndent"/>
        <w:spacing w:lineRule="auto" w:line="240"/>
        <w:ind w:hanging="0" w:end="0"/>
        <w:jc w:val="center"/>
        <w:rPr/>
      </w:pPr>
      <w:r>
        <w:rPr/>
        <w:t>Table 1</w:t>
      </w:r>
    </w:p>
    <w:p>
      <w:pPr>
        <w:pStyle w:val="BodyTextIndent"/>
        <w:spacing w:lineRule="auto" w:line="240"/>
        <w:ind w:hanging="0" w:end="0"/>
        <w:jc w:val="center"/>
        <w:rPr/>
      </w:pPr>
      <w:r>
        <w:rPr/>
      </w:r>
    </w:p>
    <w:tbl>
      <w:tblPr>
        <w:tblW w:w="8208" w:type="dxa"/>
        <w:jc w:val="start"/>
        <w:tblInd w:w="0" w:type="dxa"/>
        <w:tblLayout w:type="fixed"/>
        <w:tblCellMar>
          <w:top w:w="0" w:type="dxa"/>
          <w:start w:w="108" w:type="dxa"/>
          <w:bottom w:w="0" w:type="dxa"/>
          <w:end w:w="108" w:type="dxa"/>
        </w:tblCellMar>
      </w:tblPr>
      <w:tblGrid>
        <w:gridCol w:w="2268"/>
        <w:gridCol w:w="4500"/>
        <w:gridCol w:w="1440"/>
      </w:tblGrid>
      <w:tr>
        <w:trPr>
          <w:tblHeader w:val="true"/>
        </w:trPr>
        <w:tc>
          <w:tcPr>
            <w:tcW w:w="226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Bill Item</w:t>
            </w:r>
          </w:p>
        </w:tc>
        <w:tc>
          <w:tcPr>
            <w:tcW w:w="450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Calculation</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Amount</w:t>
            </w:r>
          </w:p>
        </w:tc>
      </w:tr>
      <w:tr>
        <w:trPr/>
        <w:tc>
          <w:tcPr>
            <w:tcW w:w="2268"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4"/>
              </w:rPr>
            </w:pPr>
            <w:r>
              <w:rPr>
                <w:sz w:val="24"/>
              </w:rPr>
            </w:r>
          </w:p>
        </w:tc>
        <w:tc>
          <w:tcPr>
            <w:tcW w:w="450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4"/>
              </w:rPr>
            </w:pPr>
            <w:r>
              <w:rPr>
                <w:sz w:val="24"/>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4"/>
              </w:rPr>
            </w:pPr>
            <w:r>
              <w:rPr>
                <w:sz w:val="24"/>
              </w:rPr>
            </w:r>
          </w:p>
        </w:tc>
      </w:tr>
      <w:tr>
        <w:trPr/>
        <w:tc>
          <w:tcPr>
            <w:tcW w:w="2268"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4"/>
              </w:rPr>
            </w:pPr>
            <w:r>
              <w:rPr>
                <w:sz w:val="24"/>
              </w:rPr>
            </w:r>
          </w:p>
        </w:tc>
        <w:tc>
          <w:tcPr>
            <w:tcW w:w="450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Net Charges</w:t>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4"/>
              </w:rPr>
            </w:pPr>
            <w:r>
              <w:rPr>
                <w:sz w:val="24"/>
              </w:rPr>
            </w:r>
          </w:p>
        </w:tc>
      </w:tr>
      <w:tr>
        <w:trPr/>
        <w:tc>
          <w:tcPr>
            <w:tcW w:w="2268"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4"/>
              </w:rPr>
            </w:pPr>
            <w:r>
              <w:rPr>
                <w:sz w:val="24"/>
              </w:rPr>
            </w:r>
          </w:p>
        </w:tc>
        <w:tc>
          <w:tcPr>
            <w:tcW w:w="450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4"/>
              </w:rPr>
            </w:pPr>
            <w:r>
              <w:rPr>
                <w:sz w:val="24"/>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4"/>
              </w:rPr>
            </w:pPr>
            <w:r>
              <w:rPr>
                <w:sz w:val="24"/>
              </w:rPr>
            </w:r>
          </w:p>
        </w:tc>
      </w:tr>
      <w:tr>
        <w:trPr/>
        <w:tc>
          <w:tcPr>
            <w:tcW w:w="226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Total Charge</w:t>
            </w:r>
          </w:p>
        </w:tc>
        <w:tc>
          <w:tcPr>
            <w:tcW w:w="450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(.14870 * 100) + $8.10</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end"/>
              <w:rPr>
                <w:sz w:val="24"/>
              </w:rPr>
            </w:pPr>
            <w:r>
              <w:rPr>
                <w:sz w:val="24"/>
              </w:rPr>
              <w:t xml:space="preserve"> </w:t>
            </w:r>
            <w:r>
              <w:rPr>
                <w:sz w:val="24"/>
              </w:rPr>
              <w:t>$22.97</w:t>
            </w:r>
          </w:p>
        </w:tc>
      </w:tr>
      <w:tr>
        <w:trPr/>
        <w:tc>
          <w:tcPr>
            <w:tcW w:w="226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Less 10% Discount</w:t>
            </w:r>
          </w:p>
        </w:tc>
        <w:tc>
          <w:tcPr>
            <w:tcW w:w="450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.1 * ($22.97)</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end"/>
              <w:rPr>
                <w:sz w:val="24"/>
              </w:rPr>
            </w:pPr>
            <w:r>
              <w:rPr>
                <w:sz w:val="24"/>
              </w:rPr>
              <w:t>$2.30</w:t>
            </w:r>
          </w:p>
        </w:tc>
      </w:tr>
      <w:tr>
        <w:trPr/>
        <w:tc>
          <w:tcPr>
            <w:tcW w:w="226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Plus EPS</w:t>
            </w:r>
          </w:p>
        </w:tc>
        <w:tc>
          <w:tcPr>
            <w:tcW w:w="450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.01 * (100)</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end"/>
              <w:rPr>
                <w:sz w:val="24"/>
              </w:rPr>
            </w:pPr>
            <w:r>
              <w:rPr>
                <w:sz w:val="24"/>
              </w:rPr>
              <w:t>$1.00</w:t>
            </w:r>
          </w:p>
        </w:tc>
      </w:tr>
      <w:tr>
        <w:trPr/>
        <w:tc>
          <w:tcPr>
            <w:tcW w:w="226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Net Charge</w:t>
            </w:r>
          </w:p>
        </w:tc>
        <w:tc>
          <w:tcPr>
            <w:tcW w:w="450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$22.97 - $2.30 + $1.00</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end"/>
              <w:rPr>
                <w:sz w:val="24"/>
              </w:rPr>
            </w:pPr>
            <w:r>
              <w:rPr>
                <w:sz w:val="24"/>
              </w:rPr>
              <w:t>$21.67</w:t>
            </w:r>
          </w:p>
        </w:tc>
      </w:tr>
      <w:tr>
        <w:trPr/>
        <w:tc>
          <w:tcPr>
            <w:tcW w:w="2268" w:type="dxa"/>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c>
          <w:tcPr>
            <w:tcW w:w="450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4"/>
              </w:rPr>
            </w:pPr>
            <w:r>
              <w:rPr>
                <w:sz w:val="24"/>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24"/>
              </w:rPr>
            </w:pPr>
            <w:r>
              <w:rPr>
                <w:sz w:val="24"/>
              </w:rPr>
            </w:r>
          </w:p>
        </w:tc>
      </w:tr>
      <w:tr>
        <w:trPr/>
        <w:tc>
          <w:tcPr>
            <w:tcW w:w="2268" w:type="dxa"/>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c>
          <w:tcPr>
            <w:tcW w:w="450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Unbundling</w:t>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24"/>
              </w:rPr>
            </w:pPr>
            <w:r>
              <w:rPr>
                <w:sz w:val="24"/>
              </w:rPr>
            </w:r>
          </w:p>
        </w:tc>
      </w:tr>
      <w:tr>
        <w:trPr/>
        <w:tc>
          <w:tcPr>
            <w:tcW w:w="226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Nuclear Decommissioning</w:t>
            </w:r>
          </w:p>
        </w:tc>
        <w:tc>
          <w:tcPr>
            <w:tcW w:w="450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.00057 * 100</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end"/>
              <w:rPr>
                <w:sz w:val="24"/>
              </w:rPr>
            </w:pPr>
            <w:r>
              <w:rPr>
                <w:sz w:val="24"/>
              </w:rPr>
              <w:t xml:space="preserve">$.06 </w:t>
            </w:r>
          </w:p>
        </w:tc>
      </w:tr>
      <w:tr>
        <w:trPr/>
        <w:tc>
          <w:tcPr>
            <w:tcW w:w="226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FTA</w:t>
            </w:r>
          </w:p>
        </w:tc>
        <w:tc>
          <w:tcPr>
            <w:tcW w:w="450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.01056 * 100</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end"/>
              <w:rPr>
                <w:sz w:val="24"/>
              </w:rPr>
            </w:pPr>
            <w:r>
              <w:rPr>
                <w:sz w:val="24"/>
              </w:rPr>
              <w:t xml:space="preserve">$1.06 </w:t>
            </w:r>
          </w:p>
        </w:tc>
      </w:tr>
      <w:tr>
        <w:trPr/>
        <w:tc>
          <w:tcPr>
            <w:tcW w:w="226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Public Purpose Programs</w:t>
            </w:r>
          </w:p>
        </w:tc>
        <w:tc>
          <w:tcPr>
            <w:tcW w:w="450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.00389 * 100</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end"/>
              <w:rPr>
                <w:sz w:val="24"/>
              </w:rPr>
            </w:pPr>
            <w:r>
              <w:rPr>
                <w:sz w:val="24"/>
              </w:rPr>
              <w:t xml:space="preserve">$.39 </w:t>
            </w:r>
          </w:p>
        </w:tc>
      </w:tr>
      <w:tr>
        <w:trPr/>
        <w:tc>
          <w:tcPr>
            <w:tcW w:w="226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Transmission*</w:t>
            </w:r>
          </w:p>
        </w:tc>
        <w:tc>
          <w:tcPr>
            <w:tcW w:w="450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(.00834 + .00270) * 100</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end"/>
              <w:rPr>
                <w:sz w:val="24"/>
              </w:rPr>
            </w:pPr>
            <w:r>
              <w:rPr>
                <w:sz w:val="24"/>
              </w:rPr>
              <w:t xml:space="preserve">$1.10 </w:t>
            </w:r>
          </w:p>
        </w:tc>
      </w:tr>
      <w:tr>
        <w:trPr/>
        <w:tc>
          <w:tcPr>
            <w:tcW w:w="226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Distribution</w:t>
            </w:r>
          </w:p>
        </w:tc>
        <w:tc>
          <w:tcPr>
            <w:tcW w:w="450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(.04047 * 100) + $8.10</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end"/>
              <w:rPr>
                <w:sz w:val="24"/>
              </w:rPr>
            </w:pPr>
            <w:r>
              <w:rPr>
                <w:sz w:val="24"/>
              </w:rPr>
              <w:t xml:space="preserve">$12.15 </w:t>
            </w:r>
          </w:p>
        </w:tc>
      </w:tr>
      <w:tr>
        <w:trPr/>
        <w:tc>
          <w:tcPr>
            <w:tcW w:w="2268"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4"/>
              </w:rPr>
            </w:pPr>
            <w:r>
              <w:rPr>
                <w:sz w:val="24"/>
              </w:rPr>
            </w:r>
          </w:p>
        </w:tc>
        <w:tc>
          <w:tcPr>
            <w:tcW w:w="450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4"/>
              </w:rPr>
            </w:pPr>
            <w:r>
              <w:rPr>
                <w:sz w:val="24"/>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4"/>
              </w:rPr>
            </w:pPr>
            <w:r>
              <w:rPr>
                <w:sz w:val="24"/>
              </w:rPr>
            </w:r>
          </w:p>
        </w:tc>
      </w:tr>
      <w:tr>
        <w:trPr/>
        <w:tc>
          <w:tcPr>
            <w:tcW w:w="226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Generation</w:t>
            </w:r>
          </w:p>
        </w:tc>
        <w:tc>
          <w:tcPr>
            <w:tcW w:w="450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$21.67 - $.06 - $1.06 - $.39 - $1.10 - $12.15</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end"/>
              <w:rPr>
                <w:sz w:val="24"/>
              </w:rPr>
            </w:pPr>
            <w:r>
              <w:rPr>
                <w:sz w:val="24"/>
              </w:rPr>
              <w:t>$6.91</w:t>
            </w:r>
          </w:p>
        </w:tc>
      </w:tr>
    </w:tbl>
    <w:p>
      <w:pPr>
        <w:pStyle w:val="BodyTextIndent"/>
        <w:ind w:hanging="0" w:end="0"/>
        <w:rPr/>
      </w:pPr>
      <w:r>
        <w:rPr/>
      </w:r>
    </w:p>
    <w:p>
      <w:pPr>
        <w:pStyle w:val="BodyTextIndent"/>
        <w:ind w:hanging="0" w:end="0"/>
        <w:rPr>
          <w:sz w:val="22"/>
        </w:rPr>
      </w:pPr>
      <w:r>
        <w:rPr>
          <w:sz w:val="22"/>
        </w:rPr>
        <w:t>*Including reliability services.</w:t>
      </w:r>
    </w:p>
    <w:p>
      <w:pPr>
        <w:pStyle w:val="BodyTextIndent"/>
        <w:rPr/>
      </w:pPr>
      <w:r>
        <w:rPr/>
        <w:t xml:space="preserve">In addition to the changes to bill development described above, footnotes shown on bills relating to PX pricing would need to be revised as well as definitions of terms shown on the back of the bill.  </w:t>
      </w:r>
    </w:p>
    <w:p>
      <w:pPr>
        <w:pStyle w:val="BodyTextIndent"/>
        <w:rPr>
          <w:b/>
        </w:rPr>
      </w:pPr>
      <w:r>
        <w:rPr>
          <w:b/>
        </w:rPr>
        <w:t xml:space="preserve">3.  </w:t>
      </w:r>
      <w:r>
        <w:rPr>
          <w:b/>
          <w:u w:val="single"/>
        </w:rPr>
        <w:t>Hourly Pricing</w:t>
      </w:r>
    </w:p>
    <w:p>
      <w:pPr>
        <w:pStyle w:val="BodyTextIndent"/>
        <w:rPr/>
      </w:pPr>
      <w:r>
        <w:rPr/>
        <w:t>Schedule PX defines the calculation of hourly commodity pricing based on estimated or actual cost.  These hourly costs were used as the basis for the commodity charges on a customer’s bill, and CTC was then determined residually.  Since residual generation charges will now replace residual CTC and commodity charges derived pursuant to Schedule PX, the actual hourly costs will no longer serve as the basis for commodity charges.  Absent hourly cost data which serves as the basis of commodity charges, PG&amp;E proposes to terminate the Hourly Pricing Option (HPX or otherwise known as virtual direct access) and Schedule A-RTP, which also uses hourly commodity prices as the basis of its variable pricing.</w:t>
      </w:r>
      <w:r>
        <w:rPr>
          <w:rStyle w:val="FootnoteCharacters"/>
          <w:rStyle w:val="FootnoteReference"/>
        </w:rPr>
        <w:footnoteReference w:id="11"/>
      </w:r>
      <w:r>
        <w:rPr/>
        <w:t xml:space="preserve">    Revisions to all rate schedules will be required to reflect these changes.</w:t>
      </w:r>
    </w:p>
    <w:p>
      <w:pPr>
        <w:pStyle w:val="BodyTextIndent"/>
        <w:rPr>
          <w:b/>
        </w:rPr>
      </w:pPr>
      <w:r>
        <w:rPr>
          <w:b/>
        </w:rPr>
        <w:t xml:space="preserve">4.  </w:t>
      </w:r>
      <w:r>
        <w:rPr>
          <w:b/>
          <w:u w:val="single"/>
        </w:rPr>
        <w:t>Direct Access</w:t>
      </w:r>
    </w:p>
    <w:p>
      <w:pPr>
        <w:pStyle w:val="BodyTextIndent"/>
        <w:rPr/>
      </w:pPr>
      <w:r>
        <w:rPr/>
        <w:t>Direct access customers will continue to receive the benefit of a credit.  The credit will be equal to the generation revenues, less the franchise fee surcharge as adopted by the Commission in Decision 00-06-066.</w:t>
      </w:r>
      <w:r>
        <w:rPr>
          <w:rStyle w:val="FootnoteCharacters"/>
          <w:rStyle w:val="FootnoteReference"/>
        </w:rPr>
        <w:footnoteReference w:id="12"/>
      </w:r>
      <w:r>
        <w:rPr/>
        <w:t xml:space="preserve">  Each rate schedule will need to be revised to eliminate the references to Schedule PX and specify the amount of the direct access credit.</w:t>
      </w:r>
    </w:p>
    <w:p>
      <w:pPr>
        <w:pStyle w:val="BodyTextIndent"/>
        <w:rPr/>
      </w:pPr>
      <w:r>
        <w:rPr/>
        <w:t xml:space="preserve">Under the mechanism set forth above, customers may choose to elect direct access at a time which would allow them to avoid repayment of any benefit of price capping that may have been provided by the DWR.  In particular, this situation could come about when a customer elects direct access after a period of undercollection of DWR procurement costs.  While PG&amp;E acknowledges this to be an issue, it has not developed an affirmative proposal to resolve this concern.  Any resolution to this issue will depend on how related issues are resolved at the legislature, the availability of cost data from DWR, and the capability of PG&amp;E’s billing system.  </w:t>
      </w:r>
    </w:p>
    <w:p>
      <w:pPr>
        <w:pStyle w:val="Normal"/>
        <w:ind w:start="720" w:end="0"/>
        <w:rPr>
          <w:rFonts w:ascii="Arial" w:hAnsi="Arial" w:cs="Arial"/>
          <w:sz w:val="24"/>
        </w:rPr>
      </w:pPr>
      <w:r>
        <w:rPr>
          <w:rFonts w:cs="Arial" w:ascii="Arial" w:hAnsi="Arial"/>
          <w:sz w:val="24"/>
        </w:rPr>
      </w:r>
    </w:p>
    <w:p>
      <w:pPr>
        <w:pStyle w:val="Normal"/>
        <w:tabs>
          <w:tab w:val="left" w:pos="720" w:leader="none"/>
        </w:tabs>
        <w:ind w:start="360" w:end="0"/>
        <w:rPr>
          <w:rFonts w:ascii="Arial" w:hAnsi="Arial" w:cs="Arial"/>
          <w:sz w:val="24"/>
        </w:rPr>
      </w:pPr>
      <w:r>
        <w:rPr>
          <w:rFonts w:cs="Arial" w:ascii="Arial" w:hAnsi="Arial"/>
          <w:sz w:val="24"/>
        </w:rPr>
      </w:r>
    </w:p>
    <w:p>
      <w:pPr>
        <w:pStyle w:val="Heading4"/>
        <w:spacing w:lineRule="auto" w:line="240"/>
        <w:ind w:hanging="0" w:start="0"/>
        <w:rPr/>
      </w:pPr>
      <w:r>
        <w:rPr>
          <w:u w:val="none"/>
        </w:rPr>
        <w:t>G.</w:t>
      </w:r>
      <w:r>
        <w:rPr>
          <w:b w:val="false"/>
          <w:u w:val="none"/>
        </w:rPr>
        <w:t xml:space="preserve">  </w:t>
      </w:r>
      <w:r>
        <w:rPr/>
        <w:t>CONCLUSION</w:t>
      </w:r>
    </w:p>
    <w:p>
      <w:pPr>
        <w:pStyle w:val="Normal"/>
        <w:rPr>
          <w:rFonts w:ascii="Arial" w:hAnsi="Arial" w:cs="Arial"/>
          <w:b/>
          <w:sz w:val="24"/>
          <w:u w:val="single"/>
        </w:rPr>
      </w:pPr>
      <w:r>
        <w:rPr>
          <w:rFonts w:cs="Arial" w:ascii="Arial" w:hAnsi="Arial"/>
          <w:b/>
          <w:sz w:val="24"/>
          <w:u w:val="single"/>
        </w:rPr>
      </w:r>
    </w:p>
    <w:p>
      <w:pPr>
        <w:pStyle w:val="BodyTextIndent"/>
        <w:rPr/>
      </w:pPr>
      <w:r>
        <w:rPr/>
        <w:t xml:space="preserve">PG&amp;E’s CPA as described above would establish, on an interim basis subject to later true-up, the residual revenues available to DWR.  The residual revenues could vary significantly depending on the amount of power DWR actually purchases, the actual ISO and QF contract costs, as well as other costs that may be borne by PG&amp;E rather than DWR.  As stated in Decision 01-01-061 and the ALJ’s Ruling, the final CPA and URG will be determined in a subsequent phase of the RSP proceeding.  PG&amp;E’s interim CPA proposal should be adopted as presented herein. </w:t>
      </w:r>
    </w:p>
    <w:sectPr>
      <w:headerReference w:type="default" r:id="rId2"/>
      <w:footerReference w:type="default" r:id="rId3"/>
      <w:footnotePr>
        <w:numFmt w:val="decimal"/>
      </w:footnotePr>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6">
              <wp:simplePos x="0" y="0"/>
              <wp:positionH relativeFrom="margin">
                <wp:align>center</wp:align>
              </wp:positionH>
              <wp:positionV relativeFrom="paragraph">
                <wp:posOffset>635</wp:posOffset>
              </wp:positionV>
              <wp:extent cx="128270"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128270"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1pt;height:11.55pt;mso-wrap-distance-left:0pt;mso-wrap-distance-right:0pt;mso-wrap-distance-top:0pt;mso-wrap-distance-bottom:0pt;margin-top:0.05pt;mso-position-vertical-relative:text;margin-left:210.9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txbxContent>
              </v:textbox>
              <w10:wrap type="square"/>
            </v:rect>
          </w:pict>
        </mc:Fallback>
      </mc:AlternateConten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ind w:hanging="432" w:start="432" w:end="0"/>
        <w:rPr/>
      </w:pPr>
      <w:r>
        <w:rPr>
          <w:rStyle w:val="FootnoteCharacters"/>
        </w:rPr>
        <w:footnoteRef/>
      </w:r>
      <w:r>
        <w:rPr/>
        <w:t xml:space="preserve"> </w:t>
      </w:r>
      <w:r>
        <w:rPr/>
        <w:tab/>
        <w:t>The parties who attended these workshops were:  SCE, SDG&amp;E, Office of Rateypayers Advocates, Department of Water Resources (present only on the first day of workshop), The Utility Reform Network, ENRON Energy Services, AES New energy, Inc. CLECA, Calpine Corporation, Federal Executive Agencies, Aglet Consumer Alliance, CMTA, Turlock Irrigation District, Watson Cogeneration Company, IEP, California Farm Bureau Fed., Department of Finance, and New West Energy.</w:t>
      </w:r>
    </w:p>
  </w:footnote>
  <w:footnote w:id="3">
    <w:p>
      <w:pPr>
        <w:pStyle w:val="FootnoteText"/>
        <w:ind w:hanging="432" w:start="432" w:end="0"/>
        <w:rPr/>
      </w:pPr>
      <w:r>
        <w:rPr>
          <w:rStyle w:val="FootnoteCharacters"/>
        </w:rPr>
        <w:footnoteRef/>
      </w:r>
      <w:r>
        <w:rPr/>
        <w:t xml:space="preserve"> </w:t>
      </w:r>
      <w:r>
        <w:rPr/>
        <w:tab/>
        <w:t>The assumptions underlying the various scenarios are preliminary and illustrative only and were not PG&amp;E’s final cost estimates or position in determining the CPA.</w:t>
      </w:r>
    </w:p>
  </w:footnote>
  <w:footnote w:id="4">
    <w:p>
      <w:pPr>
        <w:pStyle w:val="FootnoteText"/>
        <w:ind w:hanging="432" w:start="432" w:end="0"/>
        <w:rPr/>
      </w:pPr>
      <w:r>
        <w:rPr>
          <w:rStyle w:val="FootnoteCharacters"/>
        </w:rPr>
        <w:footnoteRef/>
      </w:r>
      <w:r>
        <w:rPr/>
        <w:t xml:space="preserve"> </w:t>
      </w:r>
      <w:r>
        <w:rPr/>
        <w:tab/>
        <w:t>This is currently anticipated to end in November 2001.</w:t>
      </w:r>
    </w:p>
  </w:footnote>
  <w:footnote w:id="5">
    <w:p>
      <w:pPr>
        <w:pStyle w:val="FootnoteText"/>
        <w:ind w:hanging="432" w:start="432" w:end="0"/>
        <w:rPr/>
      </w:pPr>
      <w:r>
        <w:rPr>
          <w:rStyle w:val="FootnoteCharacters"/>
        </w:rPr>
        <w:footnoteRef/>
      </w:r>
      <w:r>
        <w:rPr/>
        <w:t xml:space="preserve"> </w:t>
      </w:r>
      <w:r>
        <w:rPr/>
        <w:tab/>
        <w:t>The authorized costs of PG&amp;E’s retained generation assets include the $2.8 billion interim market valuation of its remaining non-nuclear generation assets as required by the Generation Asset Balancing Account (GABA) decision (D. 00-06-004) as well as the current authorized costs for Diablo Canyon.  As discussed in PG&amp;E’s Rate Stabilization Plan testimony, the interim value of $2.8 billion for PG&amp;E’s non-nuclear assets was sufficient to recover all of PG&amp;E’s remaining transition costs, as provided by Decision 99-10-057 and Public Utilities Code Sections 367, 368(a) and 376.  The Reliability-Must-Run (RMR) credits are also reflected in the costs associated with the respective generation assets.  If the final market valuation of PG&amp;E’s non-nuclear generating assets under Public Utilities Code Section 367 is determined to be different than the interim valuation, the authorized costs of such assets will be adjusted to reflect that determination.  In addition, when the date at which PG&amp;E’s rate freeze ended is determined, such authorized costs also will be adjusted to reflect the ratemaking applicable to PG&amp;E’s retained generating assets after such date.</w:t>
      </w:r>
    </w:p>
  </w:footnote>
  <w:footnote w:id="6">
    <w:p>
      <w:pPr>
        <w:pStyle w:val="FootnoteText"/>
        <w:ind w:hanging="432" w:start="432" w:end="0"/>
        <w:rPr/>
      </w:pPr>
      <w:r>
        <w:rPr>
          <w:rStyle w:val="FootnoteCharacters"/>
        </w:rPr>
        <w:footnoteRef/>
      </w:r>
      <w:r>
        <w:rPr/>
        <w:t xml:space="preserve"> </w:t>
      </w:r>
      <w:r>
        <w:rPr/>
        <w:tab/>
        <w:t>Dow Jones Energy Service news article dated February 15, 2001.</w:t>
      </w:r>
    </w:p>
  </w:footnote>
  <w:footnote w:id="7">
    <w:p>
      <w:pPr>
        <w:pStyle w:val="FootnoteText"/>
        <w:ind w:hanging="432" w:start="432" w:end="0"/>
        <w:rPr/>
      </w:pPr>
      <w:r>
        <w:rPr>
          <w:rStyle w:val="FootnoteCharacters"/>
        </w:rPr>
        <w:footnoteRef/>
      </w:r>
      <w:r>
        <w:rPr/>
        <w:t xml:space="preserve"> </w:t>
      </w:r>
      <w:r>
        <w:rPr/>
        <w:tab/>
        <w:t>ALJ’s Ruling, February 9, 2001, p. 2.</w:t>
      </w:r>
    </w:p>
  </w:footnote>
  <w:footnote w:id="8">
    <w:p>
      <w:pPr>
        <w:pStyle w:val="FootnoteText"/>
        <w:ind w:hanging="432" w:start="432" w:end="0"/>
        <w:rPr/>
      </w:pPr>
      <w:r>
        <w:rPr>
          <w:rStyle w:val="FootnoteCharacters"/>
        </w:rPr>
        <w:footnoteRef/>
      </w:r>
      <w:r>
        <w:rPr/>
        <w:t xml:space="preserve"> </w:t>
      </w:r>
      <w:r>
        <w:rPr/>
        <w:tab/>
        <w:t>Currently, there is legislative activity, as well as pending court actions that may affect the ultimate disposition of the uncollected TRA balance.  PG&amp;E’s CPA proposal does not affect any of the pending actions.</w:t>
      </w:r>
    </w:p>
  </w:footnote>
  <w:footnote w:id="9">
    <w:p>
      <w:pPr>
        <w:pStyle w:val="FootnoteText"/>
        <w:ind w:hanging="432" w:start="432" w:end="0"/>
        <w:rPr/>
      </w:pPr>
      <w:r>
        <w:rPr>
          <w:rStyle w:val="FootnoteCharacters"/>
        </w:rPr>
        <w:footnoteRef/>
      </w:r>
      <w:r>
        <w:rPr/>
        <w:t xml:space="preserve"> </w:t>
      </w:r>
      <w:r>
        <w:rPr/>
        <w:tab/>
        <w:t>In addition to these new non-generation balancing accounts, PG&amp;E is also including other related balancing and memorandum accounts.</w:t>
      </w:r>
    </w:p>
  </w:footnote>
  <w:footnote w:id="10">
    <w:p>
      <w:pPr>
        <w:pStyle w:val="FootnoteText"/>
        <w:ind w:hanging="432" w:start="432" w:end="0"/>
        <w:rPr/>
      </w:pPr>
      <w:r>
        <w:rPr>
          <w:rStyle w:val="FootnoteCharacters"/>
        </w:rPr>
        <w:footnoteRef/>
      </w:r>
      <w:r>
        <w:rPr/>
        <w:t xml:space="preserve"> </w:t>
      </w:r>
      <w:r>
        <w:rPr/>
        <w:tab/>
        <w:t>PG&amp;E calculates this date to be March 2, 2001.</w:t>
      </w:r>
    </w:p>
  </w:footnote>
  <w:footnote w:id="11">
    <w:p>
      <w:pPr>
        <w:pStyle w:val="FootnoteText"/>
        <w:ind w:hanging="432" w:start="432" w:end="0"/>
        <w:rPr/>
      </w:pPr>
      <w:r>
        <w:rPr>
          <w:rStyle w:val="FootnoteCharacters"/>
        </w:rPr>
        <w:footnoteRef/>
      </w:r>
      <w:r>
        <w:rPr/>
        <w:t xml:space="preserve"> </w:t>
      </w:r>
      <w:r>
        <w:rPr/>
        <w:tab/>
        <w:t>Furthermore, the cost data necessary to determine the hourly cost to serve hundred service customers is no longer available to PG&amp;E.</w:t>
      </w:r>
    </w:p>
  </w:footnote>
  <w:footnote w:id="12">
    <w:p>
      <w:pPr>
        <w:pStyle w:val="FootnoteText"/>
        <w:ind w:hanging="432" w:start="432" w:end="0"/>
        <w:rPr/>
      </w:pPr>
      <w:r>
        <w:rPr>
          <w:rStyle w:val="FootnoteCharacters"/>
        </w:rPr>
        <w:footnoteRef/>
      </w:r>
      <w:r>
        <w:rPr/>
        <w:t xml:space="preserve"> </w:t>
      </w:r>
      <w:r>
        <w:rPr/>
        <w:tab/>
        <w:t>D. 00-06-066 required PG&amp;E to implement the franchise fee surcharge at the end of the rate freeze due to the elimination of the residual CTC calculation.  Implementation of the franchise fee surcharge in the context of this proposal is required for the same reason.</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1080"/>
        </w:tabs>
        <w:ind w:start="1080" w:hanging="360"/>
      </w:pPr>
      <w:rPr/>
    </w:lvl>
  </w:abstractNum>
  <w:abstractNum w:abstractNumId="3">
    <w:lvl w:ilvl="0">
      <w:start w:val="5"/>
      <w:numFmt w:val="upperLetter"/>
      <w:lvlText w:val="%1."/>
      <w:lvlJc w:val="start"/>
      <w:pPr>
        <w:tabs>
          <w:tab w:val="num" w:pos="360"/>
        </w:tabs>
        <w:ind w:start="360" w:hanging="360"/>
      </w:pPr>
      <w:rPr/>
    </w:lvl>
  </w:abstractNum>
  <w:abstractNum w:abstractNumId="4">
    <w:lvl w:ilvl="0">
      <w:start w:val="3"/>
      <w:numFmt w:val="upperLetter"/>
      <w:lvlText w:val="%1."/>
      <w:lvlJc w:val="start"/>
      <w:pPr>
        <w:tabs>
          <w:tab w:val="num" w:pos="1080"/>
        </w:tabs>
        <w:ind w:start="1080" w:hanging="36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90"/>
  <w:revisionView w:insDel="0" w:formatting="0"/>
  <w:defaultTabStop w:val="720"/>
  <w:autoHyphenation w:val="true"/>
  <w:hyphenationZone w:val="0"/>
  <w:footnotePr>
    <w:numFmt w:val="decimal"/>
    <w:footnote w:id="0"/>
    <w:footnote w:id="1"/>
  </w:footnotePr>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overflowPunct w:val="false"/>
      <w:autoSpaceDE w:val="false"/>
      <w:bidi w:val="0"/>
      <w:textAlignment w:val="baseline"/>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rFonts w:ascii="Arial" w:hAnsi="Arial" w:cs="Arial"/>
      <w:sz w:val="24"/>
    </w:rPr>
  </w:style>
  <w:style w:type="paragraph" w:styleId="Heading2">
    <w:name w:val="heading 2"/>
    <w:basedOn w:val="Normal"/>
    <w:next w:val="Normal"/>
    <w:qFormat/>
    <w:pPr>
      <w:keepNext w:val="true"/>
      <w:numPr>
        <w:ilvl w:val="1"/>
        <w:numId w:val="1"/>
      </w:numPr>
      <w:outlineLvl w:val="1"/>
    </w:pPr>
    <w:rPr>
      <w:b/>
    </w:rPr>
  </w:style>
  <w:style w:type="paragraph" w:styleId="Heading3">
    <w:name w:val="heading 3"/>
    <w:basedOn w:val="Normal"/>
    <w:next w:val="Normal"/>
    <w:qFormat/>
    <w:pPr>
      <w:keepNext w:val="true"/>
      <w:numPr>
        <w:ilvl w:val="2"/>
        <w:numId w:val="1"/>
      </w:numPr>
      <w:ind w:hanging="0" w:start="1440" w:end="0"/>
      <w:outlineLvl w:val="2"/>
    </w:pPr>
    <w:rPr>
      <w:rFonts w:ascii="Arial" w:hAnsi="Arial" w:cs="Arial"/>
      <w:sz w:val="24"/>
    </w:rPr>
  </w:style>
  <w:style w:type="paragraph" w:styleId="Heading4">
    <w:name w:val="heading 4"/>
    <w:basedOn w:val="Normal"/>
    <w:next w:val="Normal"/>
    <w:qFormat/>
    <w:pPr>
      <w:keepNext w:val="true"/>
      <w:numPr>
        <w:ilvl w:val="3"/>
        <w:numId w:val="1"/>
      </w:numPr>
      <w:spacing w:lineRule="auto" w:line="480"/>
      <w:outlineLvl w:val="3"/>
    </w:pPr>
    <w:rPr>
      <w:rFonts w:ascii="Arial" w:hAnsi="Arial" w:cs="Arial"/>
      <w:b/>
      <w:bCs/>
      <w:sz w:val="24"/>
      <w:u w:val="single"/>
    </w:rPr>
  </w:style>
  <w:style w:type="paragraph" w:styleId="Heading5">
    <w:name w:val="heading 5"/>
    <w:basedOn w:val="Normal"/>
    <w:next w:val="Normal"/>
    <w:qFormat/>
    <w:pPr>
      <w:keepNext w:val="true"/>
      <w:numPr>
        <w:ilvl w:val="0"/>
        <w:numId w:val="4"/>
      </w:numPr>
      <w:spacing w:lineRule="auto" w:line="480"/>
      <w:outlineLvl w:val="4"/>
    </w:pPr>
    <w:rPr>
      <w:rFonts w:ascii="Arial" w:hAnsi="Arial" w:cs="Arial"/>
      <w:sz w:val="24"/>
    </w:rPr>
  </w:style>
  <w:style w:type="paragraph" w:styleId="Heading6">
    <w:name w:val="heading 6"/>
    <w:basedOn w:val="Normal"/>
    <w:next w:val="Normal"/>
    <w:qFormat/>
    <w:pPr>
      <w:keepNext w:val="true"/>
      <w:numPr>
        <w:ilvl w:val="5"/>
        <w:numId w:val="1"/>
      </w:numPr>
      <w:spacing w:lineRule="auto" w:line="480"/>
      <w:outlineLvl w:val="5"/>
    </w:pPr>
    <w:rPr>
      <w:rFonts w:ascii="Arial" w:hAnsi="Arial" w:cs="Arial"/>
      <w:b/>
      <w:sz w:val="24"/>
    </w:rPr>
  </w:style>
  <w:style w:type="paragraph" w:styleId="Heading7">
    <w:name w:val="heading 7"/>
    <w:basedOn w:val="Normal"/>
    <w:next w:val="Normal"/>
    <w:qFormat/>
    <w:pPr>
      <w:keepNext w:val="true"/>
      <w:numPr>
        <w:ilvl w:val="6"/>
        <w:numId w:val="1"/>
      </w:numPr>
      <w:ind w:hanging="0" w:start="720" w:end="0"/>
      <w:outlineLvl w:val="6"/>
    </w:pPr>
    <w:rPr>
      <w:rFonts w:ascii="Arial" w:hAnsi="Arial" w:cs="Arial"/>
      <w:sz w:val="24"/>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8z0">
    <w:name w:val="WW8Num8z0"/>
    <w:qFormat/>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4z0">
    <w:name w:val="WW8Num14z0"/>
    <w:qFormat/>
    <w:rPr/>
  </w:style>
  <w:style w:type="character" w:styleId="WW8Num15z0">
    <w:name w:val="WW8Num15z0"/>
    <w:qFormat/>
    <w:rPr/>
  </w:style>
  <w:style w:type="character" w:styleId="WW8Num19z0">
    <w:name w:val="WW8Num19z0"/>
    <w:qFormat/>
    <w:rPr>
      <w:rFonts w:ascii="Wingdings" w:hAnsi="Wingdings" w:cs="Wingdings"/>
    </w:rPr>
  </w:style>
  <w:style w:type="character" w:styleId="WW8Num19z1">
    <w:name w:val="WW8Num19z1"/>
    <w:qFormat/>
    <w:rPr>
      <w:rFonts w:ascii="Courier New" w:hAnsi="Courier New" w:cs="Courier New"/>
    </w:rPr>
  </w:style>
  <w:style w:type="character" w:styleId="WW8Num19z3">
    <w:name w:val="WW8Num19z3"/>
    <w:qFormat/>
    <w:rPr>
      <w:rFonts w:ascii="Symbol" w:hAnsi="Symbol" w:cs="Symbol"/>
    </w:rPr>
  </w:style>
  <w:style w:type="character" w:styleId="WW8Num20z0">
    <w:name w:val="WW8Num20z0"/>
    <w:qFormat/>
    <w:rPr>
      <w:rFonts w:ascii="Symbol" w:hAnsi="Symbol" w:cs="Symbol"/>
    </w:rPr>
  </w:style>
  <w:style w:type="character" w:styleId="WW8Num20z1">
    <w:name w:val="WW8Num20z1"/>
    <w:qFormat/>
    <w:rPr>
      <w:rFonts w:ascii="Courier New" w:hAnsi="Courier New" w:cs="Courier New"/>
    </w:rPr>
  </w:style>
  <w:style w:type="character" w:styleId="WW8Num20z2">
    <w:name w:val="WW8Num20z2"/>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480"/>
    </w:pPr>
    <w:rPr>
      <w:rFonts w:ascii="Arial" w:hAnsi="Arial" w:cs="Arial"/>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ind w:hanging="0" w:start="720" w:end="0"/>
    </w:pPr>
    <w:rPr>
      <w:rFonts w:ascii="Arial" w:hAnsi="Arial" w:cs="Arial"/>
      <w:sz w:val="24"/>
    </w:rPr>
  </w:style>
  <w:style w:type="paragraph" w:styleId="BodyTextIndent2">
    <w:name w:val="Body Text Indent 2"/>
    <w:basedOn w:val="Normal"/>
    <w:qFormat/>
    <w:pPr>
      <w:ind w:hanging="360" w:start="1800" w:end="0"/>
    </w:pPr>
    <w:rPr>
      <w:rFonts w:ascii="Arial" w:hAnsi="Arial" w:cs="Arial"/>
      <w:sz w:val="24"/>
    </w:rPr>
  </w:style>
  <w:style w:type="paragraph" w:styleId="BodyTextIndent3">
    <w:name w:val="Body Text Indent 3"/>
    <w:basedOn w:val="Normal"/>
    <w:qFormat/>
    <w:pPr>
      <w:ind w:hanging="0" w:start="1080" w:end="0"/>
    </w:pPr>
    <w:rPr>
      <w:rFonts w:ascii="Arial" w:hAnsi="Arial" w:cs="Arial"/>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spacing w:lineRule="auto" w:line="480"/>
      <w:ind w:firstLine="360" w:start="0" w:end="0"/>
    </w:pPr>
    <w:rPr>
      <w:rFonts w:ascii="Arial" w:hAnsi="Arial" w:cs="Arial"/>
      <w:sz w:val="24"/>
    </w:rPr>
  </w:style>
  <w:style w:type="paragraph" w:styleId="FootnoteText">
    <w:name w:val="footnote text"/>
    <w:basedOn w:val="Normal"/>
    <w:pPr/>
    <w:rPr/>
  </w:style>
  <w:style w:type="paragraph" w:styleId="Header">
    <w:name w:val="head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2001-02-23T21:01:00Z</dcterms:created>
  <dc:creator>dominscc</dc:creator>
  <dc:description/>
  <dc:language>en-CA</dc:language>
  <cp:lastModifiedBy>Alice Gong</cp:lastModifiedBy>
  <cp:lastPrinted>2001-02-23T15:55:00Z</cp:lastPrinted>
  <dcterms:modified xsi:type="dcterms:W3CDTF">2001-02-23T21:26:00Z</dcterms:modified>
  <cp:revision>4</cp:revision>
  <dc:subject/>
  <dc:title>Implementation of Public Utilities Code Section 360</dc:title>
</cp:coreProperties>
</file>