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tabs>
          <w:tab w:val="clear" w:pos="720"/>
          <w:tab w:val="left" w:pos="1440" w:leader="none"/>
          <w:tab w:val="left" w:pos="2160" w:leader="none"/>
          <w:tab w:val="left" w:pos="2880" w:leader="none"/>
          <w:tab w:val="left" w:pos="3600" w:leader="none"/>
        </w:tabs>
        <w:spacing w:lineRule="exact" w:line="220"/>
        <w:jc w:val="both"/>
        <w:rPr>
          <w:u w:val="single"/>
        </w:rPr>
      </w:pPr>
      <w:bookmarkStart w:id="0" w:name="Body"/>
      <w:bookmarkEnd w:id="0"/>
      <w:r>
        <w:rPr>
          <w:u w:val="single"/>
        </w:rPr>
        <w:t>PURPOSE</w:t>
      </w:r>
      <w:r>
        <mc:AlternateContent>
          <mc:Choice Requires="wps">
            <w:drawing>
              <wp:anchor behindDoc="0" distT="0" distB="0" distL="118745" distR="118745" simplePos="0" locked="0" layoutInCell="0" allowOverlap="1" relativeHeight="2">
                <wp:simplePos x="0" y="0"/>
                <wp:positionH relativeFrom="page">
                  <wp:posOffset>7224395</wp:posOffset>
                </wp:positionH>
                <wp:positionV relativeFrom="page">
                  <wp:posOffset>1710690</wp:posOffset>
                </wp:positionV>
                <wp:extent cx="274320" cy="7397750"/>
                <wp:effectExtent l="0" t="0" r="0" b="0"/>
                <wp:wrapSquare wrapText="bothSides"/>
                <wp:docPr id="1" name="Frame1"/>
                <a:graphic xmlns:a="http://schemas.openxmlformats.org/drawingml/2006/main">
                  <a:graphicData uri="http://schemas.microsoft.com/office/word/2010/wordprocessingShape">
                    <wps:wsp>
                      <wps:cNvSpPr txBox="1"/>
                      <wps:spPr>
                        <a:xfrm>
                          <a:off x="0" y="0"/>
                          <a:ext cx="274320" cy="7397750"/>
                        </a:xfrm>
                        <a:prstGeom prst="rect"/>
                        <a:solidFill>
                          <a:srgbClr val="FFFFFF">
                            <a:alpha val="0"/>
                          </a:srgbClr>
                        </a:solidFill>
                      </wps:spPr>
                      <wps:txbx>
                        <w:txbxContent>
                          <w:p>
                            <w:pPr>
                              <w:pStyle w:val="Normal"/>
                              <w:spacing w:lineRule="exact" w:line="220"/>
                              <w:rPr>
                                <w:rFonts w:ascii="Times New Roman" w:hAnsi="Times New Roman" w:cs="Times New Roman"/>
                              </w:rPr>
                            </w:pPr>
                            <w:r>
                              <w:rPr>
                                <w:rFonts w:cs="Times New Roman" w:ascii="Times New Roman" w:hAnsi="Times New Roman"/>
                              </w:rPr>
                            </w:r>
                            <w:bookmarkStart w:id="1" w:name="Symbols"/>
                            <w:bookmarkStart w:id="2" w:name="Symbols"/>
                            <w:bookmarkEnd w:id="2"/>
                          </w:p>
                        </w:txbxContent>
                      </wps:txbx>
                      <wps:bodyPr anchor="t" lIns="0" tIns="0" rIns="0" bIns="0">
                        <a:noAutofit/>
                      </wps:bodyPr>
                    </wps:wsp>
                  </a:graphicData>
                </a:graphic>
              </wp:anchor>
            </w:drawing>
          </mc:Choice>
          <mc:Fallback>
            <w:pict>
              <v:rect fillcolor="#FFFFFF" style="position:absolute;rotation:-0;width:21.6pt;height:582.5pt;mso-wrap-distance-left:9.35pt;mso-wrap-distance-right:9.35pt;mso-wrap-distance-top:0pt;mso-wrap-distance-bottom:0pt;margin-top:134.7pt;mso-position-vertical-relative:page;margin-left:568.85pt;mso-position-horizontal-relative:page">
                <v:fill opacity="0f"/>
                <v:textbox inset="0in,0in,0in,0in">
                  <w:txbxContent>
                    <w:p>
                      <w:pPr>
                        <w:pStyle w:val="Normal"/>
                        <w:spacing w:lineRule="exact" w:line="220"/>
                        <w:rPr>
                          <w:rFonts w:ascii="Times New Roman" w:hAnsi="Times New Roman" w:cs="Times New Roman"/>
                        </w:rPr>
                      </w:pPr>
                      <w:r>
                        <w:rPr>
                          <w:rFonts w:cs="Times New Roman" w:ascii="Times New Roman" w:hAnsi="Times New Roman"/>
                        </w:rPr>
                      </w:r>
                      <w:bookmarkStart w:id="3" w:name="Symbols"/>
                      <w:bookmarkStart w:id="4" w:name="Symbols"/>
                      <w:bookmarkEnd w:id="4"/>
                    </w:p>
                  </w:txbxContent>
                </v:textbox>
                <w10:wrap type="square"/>
              </v:rect>
            </w:pict>
          </mc:Fallback>
        </mc:AlternateContent>
      </w:r>
    </w:p>
    <w:p>
      <w:pPr>
        <w:pStyle w:val="Normal"/>
        <w:tabs>
          <w:tab w:val="left" w:pos="720" w:leader="none"/>
          <w:tab w:val="left" w:pos="1440" w:leader="none"/>
          <w:tab w:val="left" w:pos="2160" w:leader="none"/>
          <w:tab w:val="left" w:pos="2880" w:leader="none"/>
          <w:tab w:val="left" w:pos="3600" w:leader="none"/>
        </w:tabs>
        <w:spacing w:lineRule="exact" w:line="220"/>
        <w:jc w:val="both"/>
        <w:rPr>
          <w:u w:val="single"/>
        </w:rPr>
      </w:pPr>
      <w:r>
        <w:rPr>
          <w:u w:val="single"/>
        </w:rPr>
      </w:r>
    </w:p>
    <w:p>
      <w:pPr>
        <w:pStyle w:val="Normal"/>
        <w:tabs>
          <w:tab w:val="left" w:pos="720" w:leader="none"/>
          <w:tab w:val="left" w:pos="1440" w:leader="none"/>
          <w:tab w:val="left" w:pos="2160" w:leader="none"/>
          <w:tab w:val="left" w:pos="2880" w:leader="none"/>
          <w:tab w:val="left" w:pos="3600" w:leader="none"/>
        </w:tabs>
        <w:spacing w:lineRule="exact" w:line="220"/>
        <w:ind w:hanging="720" w:start="720" w:end="0"/>
        <w:jc w:val="both"/>
        <w:rPr/>
      </w:pPr>
      <w:r>
        <w:rPr/>
        <w:tab/>
        <w:t xml:space="preserve">The California Procurement Adjustment (CPA) will determine the dollar amount to be provided to the California Department of Water Resources (CDWR) out of the net revenues received from SDG&amp;E’s retail rates. The CPA procedure was developed pursuant to California Public Utilities Code Section 360.5 created by Assembly Bill No. 1 (AB1), which was signed by Governor Davis on February 1, 2001.  The CPA was approved by the California Public Utilities Commission (Commission) Decision xxx-xx-xx, dated March 27, 2001. </w:t>
      </w:r>
    </w:p>
    <w:p>
      <w:pPr>
        <w:pStyle w:val="Normal"/>
        <w:tabs>
          <w:tab w:val="left" w:pos="720" w:leader="none"/>
          <w:tab w:val="left" w:pos="1440" w:leader="none"/>
          <w:tab w:val="left" w:pos="2160" w:leader="none"/>
          <w:tab w:val="left" w:pos="2880" w:leader="none"/>
          <w:tab w:val="left" w:pos="3600" w:leader="none"/>
        </w:tabs>
        <w:spacing w:lineRule="exact" w:line="220"/>
        <w:ind w:hanging="720" w:start="720" w:end="0"/>
        <w:jc w:val="both"/>
        <w:rPr/>
      </w:pPr>
      <w:r>
        <w:rPr/>
      </w:r>
    </w:p>
    <w:p>
      <w:pPr>
        <w:pStyle w:val="Normal"/>
        <w:numPr>
          <w:ilvl w:val="0"/>
          <w:numId w:val="1"/>
        </w:numPr>
        <w:tabs>
          <w:tab w:val="clear" w:pos="720"/>
          <w:tab w:val="left" w:pos="1440" w:leader="none"/>
          <w:tab w:val="left" w:pos="2160" w:leader="none"/>
          <w:tab w:val="left" w:pos="2880" w:leader="none"/>
          <w:tab w:val="left" w:pos="3600" w:leader="none"/>
        </w:tabs>
        <w:spacing w:lineRule="exact" w:line="220"/>
        <w:jc w:val="both"/>
        <w:rPr/>
      </w:pPr>
      <w:r>
        <w:rPr>
          <w:u w:val="single"/>
        </w:rPr>
        <w:t>APPLICABILITY</w:t>
      </w:r>
    </w:p>
    <w:p>
      <w:pPr>
        <w:pStyle w:val="Normal"/>
        <w:tabs>
          <w:tab w:val="left" w:pos="720" w:leader="none"/>
          <w:tab w:val="left" w:pos="1440" w:leader="none"/>
          <w:tab w:val="left" w:pos="2160" w:leader="none"/>
          <w:tab w:val="left" w:pos="2880" w:leader="none"/>
          <w:tab w:val="left" w:pos="3600" w:leader="none"/>
        </w:tabs>
        <w:spacing w:lineRule="exact" w:line="220"/>
        <w:jc w:val="both"/>
        <w:rPr/>
      </w:pPr>
      <w:r>
        <w:rPr/>
      </w:r>
    </w:p>
    <w:p>
      <w:pPr>
        <w:pStyle w:val="Normal"/>
        <w:tabs>
          <w:tab w:val="left" w:pos="720" w:leader="none"/>
          <w:tab w:val="left" w:pos="1440" w:leader="none"/>
          <w:tab w:val="left" w:pos="2160" w:leader="none"/>
          <w:tab w:val="left" w:pos="2880" w:leader="none"/>
          <w:tab w:val="left" w:pos="3600" w:leader="none"/>
        </w:tabs>
        <w:spacing w:lineRule="exact" w:line="220"/>
        <w:ind w:start="720" w:end="0"/>
        <w:jc w:val="both"/>
        <w:rPr/>
      </w:pPr>
      <w:r>
        <w:rPr/>
        <w:t>The CPA procedure applies to SDG&amp;E’s Commission bundled jurisdictional customers, as defined herein.</w:t>
      </w:r>
    </w:p>
    <w:p>
      <w:pPr>
        <w:pStyle w:val="Normal"/>
        <w:tabs>
          <w:tab w:val="left" w:pos="720" w:leader="none"/>
          <w:tab w:val="left" w:pos="1440" w:leader="none"/>
          <w:tab w:val="left" w:pos="2160" w:leader="none"/>
          <w:tab w:val="left" w:pos="2880" w:leader="none"/>
          <w:tab w:val="left" w:pos="3600" w:leader="none"/>
        </w:tabs>
        <w:spacing w:lineRule="exact" w:line="220"/>
        <w:jc w:val="both"/>
        <w:rPr/>
      </w:pPr>
      <w:r>
        <w:rPr/>
      </w:r>
    </w:p>
    <w:p>
      <w:pPr>
        <w:pStyle w:val="Normal"/>
        <w:tabs>
          <w:tab w:val="left" w:pos="720" w:leader="none"/>
          <w:tab w:val="left" w:pos="1440" w:leader="none"/>
          <w:tab w:val="left" w:pos="2160" w:leader="none"/>
          <w:tab w:val="left" w:pos="2880" w:leader="none"/>
          <w:tab w:val="left" w:pos="3600" w:leader="none"/>
        </w:tabs>
        <w:spacing w:lineRule="exact" w:line="220"/>
        <w:jc w:val="both"/>
        <w:rPr/>
      </w:pPr>
      <w:r>
        <w:rPr/>
        <w:t>C.</w:t>
        <w:tab/>
      </w:r>
      <w:r>
        <w:rPr>
          <w:u w:val="single"/>
        </w:rPr>
        <w:t>EFFECTIVE DATE</w:t>
      </w:r>
    </w:p>
    <w:p>
      <w:pPr>
        <w:pStyle w:val="Normal"/>
        <w:tabs>
          <w:tab w:val="left" w:pos="720" w:leader="none"/>
          <w:tab w:val="left" w:pos="1440" w:leader="none"/>
          <w:tab w:val="left" w:pos="2160" w:leader="none"/>
          <w:tab w:val="left" w:pos="2880" w:leader="none"/>
          <w:tab w:val="left" w:pos="3600" w:leader="none"/>
        </w:tabs>
        <w:spacing w:lineRule="exact" w:line="220"/>
        <w:jc w:val="both"/>
        <w:rPr>
          <w:u w:val="single"/>
        </w:rPr>
      </w:pPr>
      <w:r>
        <w:rPr>
          <w:u w:val="single"/>
        </w:rPr>
      </w:r>
    </w:p>
    <w:p>
      <w:pPr>
        <w:pStyle w:val="Normal"/>
        <w:tabs>
          <w:tab w:val="left" w:pos="720" w:leader="none"/>
          <w:tab w:val="left" w:pos="1440" w:leader="none"/>
          <w:tab w:val="left" w:pos="2160" w:leader="none"/>
          <w:tab w:val="left" w:pos="2880" w:leader="none"/>
          <w:tab w:val="left" w:pos="3600" w:leader="none"/>
        </w:tabs>
        <w:spacing w:lineRule="exact" w:line="220"/>
        <w:ind w:hanging="720" w:start="720" w:end="0"/>
        <w:jc w:val="both"/>
        <w:rPr/>
      </w:pPr>
      <w:r>
        <w:rPr/>
        <w:tab/>
        <w:t xml:space="preserve">The CPA is effective on March 27, 2001 (the expected date for the Commission’s Decision of adopting the interim CPA), and will remain in effect until such time as the legislature or Commission shall determine. </w:t>
      </w:r>
    </w:p>
    <w:p>
      <w:pPr>
        <w:pStyle w:val="Normal"/>
        <w:tabs>
          <w:tab w:val="left" w:pos="720" w:leader="none"/>
          <w:tab w:val="left" w:pos="1440" w:leader="none"/>
          <w:tab w:val="left" w:pos="2160" w:leader="none"/>
          <w:tab w:val="left" w:pos="2880" w:leader="none"/>
          <w:tab w:val="left" w:pos="3600" w:leader="none"/>
        </w:tabs>
        <w:spacing w:lineRule="exact" w:line="220"/>
        <w:ind w:hanging="720" w:start="720" w:end="0"/>
        <w:jc w:val="both"/>
        <w:rPr/>
      </w:pPr>
      <w:r>
        <w:rPr/>
      </w:r>
    </w:p>
    <w:p>
      <w:pPr>
        <w:pStyle w:val="Normal"/>
        <w:numPr>
          <w:ilvl w:val="0"/>
          <w:numId w:val="4"/>
        </w:numPr>
        <w:tabs>
          <w:tab w:val="clear" w:pos="720"/>
          <w:tab w:val="left" w:pos="1440" w:leader="none"/>
          <w:tab w:val="left" w:pos="2160" w:leader="none"/>
          <w:tab w:val="left" w:pos="2880" w:leader="none"/>
          <w:tab w:val="left" w:pos="3600" w:leader="none"/>
        </w:tabs>
        <w:spacing w:lineRule="exact" w:line="220"/>
        <w:jc w:val="both"/>
        <w:rPr>
          <w:u w:val="single"/>
        </w:rPr>
      </w:pPr>
      <w:r>
        <w:rPr>
          <w:rFonts w:eastAsia="Arial"/>
        </w:rPr>
        <w:t xml:space="preserve">      </w:t>
      </w:r>
      <w:r>
        <w:rPr>
          <w:u w:val="single"/>
        </w:rPr>
        <w:t xml:space="preserve">CPA CALCULATIONS </w:t>
      </w:r>
    </w:p>
    <w:p>
      <w:pPr>
        <w:pStyle w:val="Normal"/>
        <w:tabs>
          <w:tab w:val="left" w:pos="720" w:leader="none"/>
          <w:tab w:val="left" w:pos="1440" w:leader="none"/>
          <w:tab w:val="left" w:pos="2160" w:leader="none"/>
          <w:tab w:val="left" w:pos="2880" w:leader="none"/>
          <w:tab w:val="left" w:pos="3600" w:leader="none"/>
        </w:tabs>
        <w:spacing w:lineRule="exact" w:line="220"/>
        <w:jc w:val="both"/>
        <w:rPr>
          <w:u w:val="single"/>
        </w:rPr>
      </w:pPr>
      <w:r>
        <w:rPr>
          <w:u w:val="single"/>
        </w:rPr>
      </w:r>
    </w:p>
    <w:p>
      <w:pPr>
        <w:pStyle w:val="Normal"/>
        <w:tabs>
          <w:tab w:val="left" w:pos="720" w:leader="none"/>
          <w:tab w:val="left" w:pos="1440" w:leader="none"/>
          <w:tab w:val="left" w:pos="2160" w:leader="none"/>
          <w:tab w:val="left" w:pos="2880" w:leader="none"/>
          <w:tab w:val="left" w:pos="3600" w:leader="none"/>
        </w:tabs>
        <w:spacing w:lineRule="exact" w:line="220"/>
        <w:ind w:start="720" w:end="0"/>
        <w:jc w:val="both"/>
        <w:rPr/>
      </w:pPr>
      <w:r>
        <w:rPr/>
        <w:t>The CPA calculations below are under the assumption that the CDWR purchases all of SDG&amp;E’s net short position, such as: imbalance energy and associated imbalance penalties, etc.</w:t>
      </w:r>
    </w:p>
    <w:p>
      <w:pPr>
        <w:pStyle w:val="Normal"/>
        <w:tabs>
          <w:tab w:val="left" w:pos="720" w:leader="none"/>
          <w:tab w:val="left" w:pos="1440" w:leader="none"/>
          <w:tab w:val="left" w:pos="2160" w:leader="none"/>
          <w:tab w:val="left" w:pos="2880" w:leader="none"/>
          <w:tab w:val="left" w:pos="3600" w:leader="none"/>
        </w:tabs>
        <w:spacing w:lineRule="exact" w:line="220"/>
        <w:jc w:val="both"/>
        <w:rPr/>
      </w:pPr>
      <w:r>
        <w:rPr/>
      </w:r>
    </w:p>
    <w:p>
      <w:pPr>
        <w:pStyle w:val="Normal"/>
        <w:tabs>
          <w:tab w:val="left" w:pos="720" w:leader="none"/>
          <w:tab w:val="left" w:pos="1440" w:leader="none"/>
          <w:tab w:val="left" w:pos="2160" w:leader="none"/>
          <w:tab w:val="left" w:pos="2880" w:leader="none"/>
          <w:tab w:val="left" w:pos="3600" w:leader="none"/>
        </w:tabs>
        <w:spacing w:lineRule="exact" w:line="220"/>
        <w:ind w:hanging="1440" w:start="1440" w:end="0"/>
        <w:jc w:val="both"/>
        <w:rPr/>
      </w:pPr>
      <w:r>
        <w:rPr/>
        <w:tab/>
        <w:t>1.</w:t>
        <w:tab/>
      </w:r>
      <w:r>
        <w:rPr>
          <w:u w:val="single"/>
        </w:rPr>
        <w:t>Generation-Related Component of Retail Rates</w:t>
      </w:r>
      <w:r>
        <w:rPr/>
        <w:t>: The rates consist of the capped rate for customers covered by AB265, and the non-capped Schedule PX or successor rate for customers not covered by AB265.  Upon expiration of AB265, the generation rate will be Schedule PX or successor rate for all bundled customers.</w:t>
      </w:r>
    </w:p>
    <w:p>
      <w:pPr>
        <w:pStyle w:val="Normal"/>
        <w:tabs>
          <w:tab w:val="left" w:pos="720" w:leader="none"/>
          <w:tab w:val="left" w:pos="1440" w:leader="none"/>
          <w:tab w:val="left" w:pos="2160" w:leader="none"/>
          <w:tab w:val="left" w:pos="2880" w:leader="none"/>
          <w:tab w:val="left" w:pos="3600" w:leader="none"/>
        </w:tabs>
        <w:spacing w:lineRule="exact" w:line="220"/>
        <w:jc w:val="both"/>
        <w:rPr/>
      </w:pPr>
      <w:r>
        <w:rPr/>
      </w:r>
    </w:p>
    <w:p>
      <w:pPr>
        <w:pStyle w:val="Normal"/>
        <w:numPr>
          <w:ilvl w:val="0"/>
          <w:numId w:val="2"/>
        </w:numPr>
        <w:tabs>
          <w:tab w:val="left" w:pos="720" w:leader="none"/>
          <w:tab w:val="left" w:pos="2160" w:leader="none"/>
          <w:tab w:val="left" w:pos="2880" w:leader="none"/>
          <w:tab w:val="left" w:pos="3600" w:leader="none"/>
        </w:tabs>
        <w:spacing w:lineRule="exact" w:line="220"/>
        <w:jc w:val="both"/>
        <w:rPr/>
      </w:pPr>
      <w:r>
        <w:rPr>
          <w:u w:val="single"/>
        </w:rPr>
        <w:t>Generation-Related Revenues</w:t>
      </w:r>
      <w:r>
        <w:rPr/>
        <w:t>: The monthly billed revenues resulting from the sales delivered to SDG&amp;E bundled retail capped and non-capped customers multiplied by the applicable generation-related component of the retail rates.  The revenues will then be reduced by the generation-related portion of Franchise Fees and Uncollectibles (FF&amp;U).</w:t>
      </w:r>
    </w:p>
    <w:p>
      <w:pPr>
        <w:pStyle w:val="Normal"/>
        <w:tabs>
          <w:tab w:val="left" w:pos="720" w:leader="none"/>
          <w:tab w:val="left" w:pos="2160" w:leader="none"/>
          <w:tab w:val="left" w:pos="2880" w:leader="none"/>
          <w:tab w:val="left" w:pos="3600" w:leader="none"/>
        </w:tabs>
        <w:spacing w:lineRule="exact" w:line="220"/>
        <w:ind w:start="720" w:end="0"/>
        <w:jc w:val="both"/>
        <w:rPr/>
      </w:pPr>
      <w:r>
        <w:rPr/>
      </w:r>
    </w:p>
    <w:p>
      <w:pPr>
        <w:pStyle w:val="Normal"/>
        <w:numPr>
          <w:ilvl w:val="0"/>
          <w:numId w:val="2"/>
        </w:numPr>
        <w:tabs>
          <w:tab w:val="left" w:pos="720" w:leader="none"/>
          <w:tab w:val="left" w:pos="2160" w:leader="none"/>
          <w:tab w:val="left" w:pos="2880" w:leader="none"/>
          <w:tab w:val="left" w:pos="3600" w:leader="none"/>
        </w:tabs>
        <w:spacing w:lineRule="exact" w:line="220"/>
        <w:jc w:val="both"/>
        <w:rPr/>
      </w:pPr>
      <w:r>
        <w:rPr/>
        <w:t>On a monthly basis, the following components, recorded as accrued costs for the month, will be deducted from SDG&amp;E’s recorded generation-related revenues to determine the amount of the CPA:</w:t>
      </w:r>
    </w:p>
    <w:p>
      <w:pPr>
        <w:pStyle w:val="Normal"/>
        <w:tabs>
          <w:tab w:val="left" w:pos="720" w:leader="none"/>
          <w:tab w:val="left" w:pos="1440" w:leader="none"/>
          <w:tab w:val="left" w:pos="2160" w:leader="none"/>
          <w:tab w:val="left" w:pos="2880" w:leader="none"/>
          <w:tab w:val="left" w:pos="3600" w:leader="none"/>
        </w:tabs>
        <w:spacing w:lineRule="exact" w:line="220"/>
        <w:jc w:val="both"/>
        <w:rPr/>
      </w:pPr>
      <w:r>
        <w:rPr/>
      </w:r>
    </w:p>
    <w:p>
      <w:pPr>
        <w:pStyle w:val="Normal"/>
        <w:numPr>
          <w:ilvl w:val="0"/>
          <w:numId w:val="3"/>
        </w:numPr>
        <w:tabs>
          <w:tab w:val="left" w:pos="720" w:leader="none"/>
          <w:tab w:val="left" w:pos="2160" w:leader="none"/>
          <w:tab w:val="left" w:pos="2880" w:leader="none"/>
          <w:tab w:val="left" w:pos="3600" w:leader="none"/>
        </w:tabs>
        <w:spacing w:lineRule="exact" w:line="220"/>
        <w:jc w:val="both"/>
        <w:rPr/>
      </w:pPr>
      <w:r>
        <w:rPr>
          <w:u w:val="single"/>
        </w:rPr>
        <w:t>SDG&amp;E’s Own Generation Costs</w:t>
      </w:r>
      <w:r>
        <w:rPr/>
        <w:t xml:space="preserve">: Calculated based on SDG&amp;E’s 20% share of SONGS Incremental Cost Incentive Pricing (ICIP) revenues pursuant to Commission Decisions 96-04-059 and 97-11-076.  </w:t>
      </w:r>
    </w:p>
    <w:p>
      <w:pPr>
        <w:pStyle w:val="Normal"/>
        <w:tabs>
          <w:tab w:val="left" w:pos="720" w:leader="none"/>
          <w:tab w:val="left" w:pos="1440" w:leader="none"/>
          <w:tab w:val="left" w:pos="2160" w:leader="none"/>
          <w:tab w:val="left" w:pos="2880" w:leader="none"/>
          <w:tab w:val="left" w:pos="3600" w:leader="none"/>
        </w:tabs>
        <w:spacing w:lineRule="exact" w:line="220"/>
        <w:jc w:val="both"/>
        <w:rPr>
          <w:u w:val="single"/>
        </w:rPr>
      </w:pPr>
      <w:r>
        <w:rPr>
          <w:u w:val="single"/>
        </w:rPr>
      </w:r>
    </w:p>
    <w:p>
      <w:pPr>
        <w:pStyle w:val="Normal"/>
        <w:numPr>
          <w:ilvl w:val="0"/>
          <w:numId w:val="3"/>
        </w:numPr>
        <w:tabs>
          <w:tab w:val="left" w:pos="720" w:leader="none"/>
          <w:tab w:val="left" w:pos="2160" w:leader="none"/>
          <w:tab w:val="left" w:pos="2880" w:leader="none"/>
          <w:tab w:val="left" w:pos="3600" w:leader="none"/>
        </w:tabs>
        <w:spacing w:lineRule="exact" w:line="220"/>
        <w:jc w:val="both"/>
        <w:rPr/>
      </w:pPr>
      <w:r>
        <w:rPr>
          <w:u w:val="single"/>
        </w:rPr>
        <w:t>QF Contract Costs:</w:t>
      </w:r>
      <w:r>
        <w:rPr/>
        <w:t xml:space="preserve"> Include QF energy and capacity payments; QF buyout payments; and generation-related QF administration costs.</w:t>
      </w:r>
    </w:p>
    <w:p>
      <w:pPr>
        <w:pStyle w:val="Normal"/>
        <w:tabs>
          <w:tab w:val="left" w:pos="720" w:leader="none"/>
          <w:tab w:val="left" w:pos="2160" w:leader="none"/>
          <w:tab w:val="left" w:pos="2880" w:leader="none"/>
          <w:tab w:val="left" w:pos="3600" w:leader="none"/>
        </w:tabs>
        <w:spacing w:lineRule="exact" w:line="220"/>
        <w:jc w:val="both"/>
        <w:rPr/>
      </w:pPr>
      <w:r>
        <w:rPr/>
      </w:r>
    </w:p>
    <w:p>
      <w:pPr>
        <w:pStyle w:val="Normal"/>
        <w:numPr>
          <w:ilvl w:val="0"/>
          <w:numId w:val="3"/>
        </w:numPr>
        <w:tabs>
          <w:tab w:val="left" w:pos="720" w:leader="none"/>
          <w:tab w:val="left" w:pos="2160" w:leader="none"/>
          <w:tab w:val="left" w:pos="2880" w:leader="none"/>
          <w:tab w:val="left" w:pos="3600" w:leader="none"/>
        </w:tabs>
        <w:spacing w:lineRule="exact" w:line="220"/>
        <w:jc w:val="both"/>
        <w:rPr/>
      </w:pPr>
      <w:r>
        <w:rPr>
          <w:u w:val="single"/>
        </w:rPr>
        <w:t>Existing Bilateral Contracts and Interutility Contracts:</w:t>
      </w:r>
      <w:r>
        <w:rPr/>
        <w:t xml:space="preserve"> The energy, capacity, transmission, and generation-related administration expenses.</w:t>
      </w:r>
    </w:p>
    <w:p>
      <w:pPr>
        <w:pStyle w:val="Normal"/>
        <w:tabs>
          <w:tab w:val="left" w:pos="720" w:leader="none"/>
          <w:tab w:val="left" w:pos="2160" w:leader="none"/>
          <w:tab w:val="left" w:pos="2880" w:leader="none"/>
          <w:tab w:val="left" w:pos="3600" w:leader="none"/>
        </w:tabs>
        <w:spacing w:lineRule="exact" w:line="220"/>
        <w:jc w:val="both"/>
        <w:rPr/>
      </w:pPr>
      <w:r>
        <w:rPr/>
      </w:r>
    </w:p>
    <w:p>
      <w:pPr>
        <w:pStyle w:val="Normal"/>
        <w:tabs>
          <w:tab w:val="left" w:pos="720" w:leader="none"/>
          <w:tab w:val="left" w:pos="2160" w:leader="none"/>
          <w:tab w:val="left" w:pos="2880" w:leader="none"/>
          <w:tab w:val="left" w:pos="3600" w:leader="none"/>
        </w:tabs>
        <w:spacing w:lineRule="exact" w:line="220"/>
        <w:jc w:val="both"/>
        <w:rPr/>
      </w:pPr>
      <w:r>
        <w:rPr/>
      </w:r>
    </w:p>
    <w:p>
      <w:pPr>
        <w:pStyle w:val="Normal"/>
        <w:tabs>
          <w:tab w:val="left" w:pos="720" w:leader="none"/>
          <w:tab w:val="left" w:pos="2160" w:leader="none"/>
          <w:tab w:val="left" w:pos="2880" w:leader="none"/>
          <w:tab w:val="left" w:pos="3600" w:leader="none"/>
        </w:tabs>
        <w:spacing w:lineRule="exact" w:line="220"/>
        <w:jc w:val="both"/>
        <w:rPr/>
      </w:pPr>
      <w:r>
        <w:rPr/>
      </w:r>
    </w:p>
    <w:p>
      <w:pPr>
        <w:pStyle w:val="Normal"/>
        <w:numPr>
          <w:ilvl w:val="0"/>
          <w:numId w:val="5"/>
        </w:numPr>
        <w:tabs>
          <w:tab w:val="clear" w:pos="720"/>
          <w:tab w:val="left" w:pos="1440" w:leader="none"/>
          <w:tab w:val="left" w:pos="2160" w:leader="none"/>
          <w:tab w:val="left" w:pos="2880" w:leader="none"/>
          <w:tab w:val="left" w:pos="3600" w:leader="none"/>
        </w:tabs>
        <w:spacing w:lineRule="exact" w:line="220"/>
        <w:jc w:val="both"/>
        <w:rPr>
          <w:u w:val="single"/>
        </w:rPr>
      </w:pPr>
      <w:r>
        <w:rPr>
          <w:rFonts w:eastAsia="Arial"/>
        </w:rPr>
        <w:t xml:space="preserve">      </w:t>
      </w:r>
      <w:r>
        <w:rPr>
          <w:u w:val="single"/>
        </w:rPr>
        <w:t xml:space="preserve">CPA CALCULATIONS </w:t>
      </w:r>
      <w:r>
        <w:rPr/>
        <w:t>(Continued)</w:t>
      </w:r>
      <w:r>
        <w:rPr>
          <w:u w:val="single"/>
        </w:rPr>
        <w:t xml:space="preserve"> </w:t>
      </w:r>
    </w:p>
    <w:p>
      <w:pPr>
        <w:pStyle w:val="Normal"/>
        <w:tabs>
          <w:tab w:val="left" w:pos="720" w:leader="none"/>
          <w:tab w:val="left" w:pos="2160" w:leader="none"/>
          <w:tab w:val="left" w:pos="2880" w:leader="none"/>
          <w:tab w:val="left" w:pos="3600" w:leader="none"/>
        </w:tabs>
        <w:spacing w:lineRule="exact" w:line="220"/>
        <w:jc w:val="both"/>
        <w:rPr>
          <w:u w:val="single"/>
        </w:rPr>
      </w:pPr>
      <w:r>
        <w:rPr>
          <w:u w:val="single"/>
        </w:rPr>
      </w:r>
    </w:p>
    <w:p>
      <w:pPr>
        <w:pStyle w:val="Normal"/>
        <w:tabs>
          <w:tab w:val="left" w:pos="720" w:leader="none"/>
          <w:tab w:val="left" w:pos="2160" w:leader="none"/>
          <w:tab w:val="left" w:pos="2880" w:leader="none"/>
          <w:tab w:val="left" w:pos="3600" w:leader="none"/>
        </w:tabs>
        <w:spacing w:lineRule="exact" w:line="220"/>
        <w:jc w:val="both"/>
        <w:rPr/>
      </w:pPr>
      <w:r>
        <w:rPr/>
      </w:r>
    </w:p>
    <w:p>
      <w:pPr>
        <w:pStyle w:val="Normal"/>
        <w:tabs>
          <w:tab w:val="clear" w:pos="720"/>
          <w:tab w:val="left" w:pos="2160" w:leader="none"/>
          <w:tab w:val="left" w:pos="2520" w:leader="none"/>
          <w:tab w:val="left" w:pos="3600" w:leader="none"/>
        </w:tabs>
        <w:spacing w:lineRule="exact" w:line="220"/>
        <w:ind w:hanging="2520" w:start="2520" w:end="0"/>
        <w:jc w:val="both"/>
        <w:rPr/>
      </w:pPr>
      <w:r>
        <w:rPr/>
        <w:tab/>
        <w:t>d.</w:t>
        <w:tab/>
      </w:r>
      <w:r>
        <w:rPr>
          <w:u w:val="single"/>
        </w:rPr>
        <w:t>Ancillary Service and ISO Related Costs:</w:t>
      </w:r>
      <w:r>
        <w:rPr/>
        <w:t xml:space="preserve"> The costs for SDG&amp;E total bundled service load (including line losses), and ISO related charges not otherwise procured by the CDWR as part of meeting SDG&amp;E’s net short position.  The costs include, but are not limited to: instructed and uninstructed energy; spinning and non-spinning reserves; replacement reserve; regulation up and down; rational buyer adjustment; RMR preemption of ancillary services; day ahead and hour ahead zonal congestion; transmission access and wheeling charges; grid management charges; neutrality adjustments; black start capacity; long-term voltage support; supplemental reactive energy; black start energy; rounding adjustment; unaccounted for energy; and no pay provision.</w:t>
      </w:r>
    </w:p>
    <w:p>
      <w:pPr>
        <w:pStyle w:val="Normal"/>
        <w:tabs>
          <w:tab w:val="left" w:pos="720" w:leader="none"/>
          <w:tab w:val="left" w:pos="2160" w:leader="none"/>
          <w:tab w:val="left" w:pos="2880" w:leader="none"/>
          <w:tab w:val="left" w:pos="3600" w:leader="none"/>
        </w:tabs>
        <w:spacing w:lineRule="exact" w:line="220"/>
        <w:jc w:val="both"/>
        <w:rPr/>
      </w:pPr>
      <w:r>
        <w:rPr/>
      </w:r>
    </w:p>
    <w:p>
      <w:pPr>
        <w:pStyle w:val="Normal"/>
        <w:tabs>
          <w:tab w:val="left" w:pos="720" w:leader="none"/>
          <w:tab w:val="left" w:pos="2160" w:leader="none"/>
          <w:tab w:val="left" w:pos="2880" w:leader="none"/>
          <w:tab w:val="left" w:pos="3600" w:leader="none"/>
        </w:tabs>
        <w:spacing w:lineRule="exact" w:line="220"/>
        <w:ind w:start="2160" w:end="0"/>
        <w:jc w:val="both"/>
        <w:rPr>
          <w:u w:val="single"/>
        </w:rPr>
      </w:pPr>
      <w:r>
        <w:rPr>
          <w:u w:val="single"/>
        </w:rPr>
      </w:r>
    </w:p>
    <w:p>
      <w:pPr>
        <w:pStyle w:val="Normal"/>
        <w:tabs>
          <w:tab w:val="clear" w:pos="720"/>
          <w:tab w:val="left" w:pos="2160" w:leader="none"/>
          <w:tab w:val="left" w:pos="2520" w:leader="none"/>
          <w:tab w:val="left" w:pos="2880" w:leader="none"/>
          <w:tab w:val="left" w:pos="3600" w:leader="none"/>
        </w:tabs>
        <w:spacing w:lineRule="exact" w:line="220"/>
        <w:ind w:hanging="360" w:start="2520" w:end="0"/>
        <w:jc w:val="both"/>
        <w:rPr>
          <w:u w:val="single"/>
        </w:rPr>
      </w:pPr>
      <w:r>
        <w:rPr/>
        <w:t>e.</w:t>
        <w:tab/>
      </w:r>
      <w:r>
        <w:rPr>
          <w:u w:val="single"/>
        </w:rPr>
        <w:t>Purchased Electric Commodity Account (PECA) Undercollection:</w:t>
      </w:r>
      <w:r>
        <w:rPr/>
        <w:t xml:space="preserve"> The monthly balance recorded in the PECA, which includes all recorded costs associated with energy procurement on behalf of bundled service customers, will be amortized over 12 months.  The amortized amount will be deducted from the recorded generation-related revenues if the PECA balance is undercollected; and will be additive to the recorded generation-related revenues if the PECA balance is overcollected to determine the CPA amount.</w:t>
      </w:r>
    </w:p>
    <w:p>
      <w:pPr>
        <w:pStyle w:val="Normal"/>
        <w:tabs>
          <w:tab w:val="left" w:pos="720" w:leader="none"/>
          <w:tab w:val="left" w:pos="2160" w:leader="none"/>
          <w:tab w:val="left" w:pos="2880" w:leader="none"/>
          <w:tab w:val="left" w:pos="3600" w:leader="none"/>
        </w:tabs>
        <w:spacing w:lineRule="exact" w:line="220"/>
        <w:ind w:start="2160" w:end="0"/>
        <w:jc w:val="both"/>
        <w:rPr>
          <w:u w:val="single"/>
        </w:rPr>
      </w:pPr>
      <w:r>
        <w:rPr>
          <w:u w:val="single"/>
        </w:rPr>
      </w:r>
    </w:p>
    <w:p>
      <w:pPr>
        <w:pStyle w:val="Normal"/>
        <w:rPr>
          <w:u w:val="single"/>
        </w:rPr>
      </w:pPr>
      <w:r>
        <w:rPr>
          <w:u w:val="single"/>
        </w:rPr>
      </w:r>
    </w:p>
    <w:p>
      <w:pPr>
        <w:pStyle w:val="Normal"/>
        <w:tabs>
          <w:tab w:val="left" w:pos="720" w:leader="none"/>
          <w:tab w:val="left" w:pos="1440" w:leader="none"/>
          <w:tab w:val="left" w:pos="2160" w:leader="none"/>
          <w:tab w:val="left" w:pos="2880" w:leader="none"/>
          <w:tab w:val="left" w:pos="3600" w:leader="none"/>
        </w:tabs>
        <w:spacing w:lineRule="exact" w:line="220"/>
        <w:ind w:hanging="720" w:start="720" w:end="0"/>
        <w:jc w:val="both"/>
        <w:rPr/>
      </w:pPr>
      <w:r>
        <w:rPr/>
        <w:t>E.</w:t>
        <w:tab/>
      </w:r>
      <w:r>
        <w:rPr>
          <w:u w:val="single"/>
        </w:rPr>
        <w:t>DISPOSITION</w:t>
      </w:r>
    </w:p>
    <w:p>
      <w:pPr>
        <w:pStyle w:val="Normal"/>
        <w:tabs>
          <w:tab w:val="left" w:pos="720" w:leader="none"/>
          <w:tab w:val="left" w:pos="1440" w:leader="none"/>
          <w:tab w:val="left" w:pos="2160" w:leader="none"/>
          <w:tab w:val="left" w:pos="2880" w:leader="none"/>
          <w:tab w:val="left" w:pos="3600" w:leader="none"/>
        </w:tabs>
        <w:spacing w:lineRule="exact" w:line="220"/>
        <w:jc w:val="both"/>
        <w:rPr/>
      </w:pPr>
      <w:r>
        <w:rPr/>
      </w:r>
    </w:p>
    <w:p>
      <w:pPr>
        <w:pStyle w:val="Normal"/>
        <w:ind w:start="720" w:end="0"/>
        <w:rPr/>
      </w:pPr>
      <w:r>
        <w:rPr/>
        <w:t xml:space="preserve">If the CPA is a positive dollar amount, SDG&amp;E will transmit the amount to the CDWR for depositing in the CDWR’s Electric Power Fund.  If the CPA is a negative dollar amount (i.e., recorded generation-related revenues are insufficient to recover item D3 above), the amount will be carried over to subsequent months with accrued interest until it is fully recovered.  </w:t>
      </w:r>
    </w:p>
    <w:p>
      <w:pPr>
        <w:pStyle w:val="Normal"/>
        <w:ind w:start="720" w:end="0"/>
        <w:rPr/>
      </w:pPr>
      <w:r>
        <w:rPr/>
      </w:r>
    </w:p>
    <w:p>
      <w:pPr>
        <w:pStyle w:val="Normal"/>
        <w:ind w:start="720" w:end="0"/>
        <w:rPr/>
      </w:pPr>
      <w:r>
        <w:rPr/>
        <w:t xml:space="preserve">The interest rate shall be 1/12 of the most recent month’s interest rate on 3-month Commercial Paper published in the Federal Reserve Statistical Release, G.13, or its successor publication. </w:t>
      </w:r>
    </w:p>
    <w:p>
      <w:pPr>
        <w:pStyle w:val="Normal"/>
        <w:tabs>
          <w:tab w:val="left" w:pos="720" w:leader="none"/>
          <w:tab w:val="left" w:pos="1440" w:leader="none"/>
          <w:tab w:val="left" w:pos="2160" w:leader="none"/>
          <w:tab w:val="left" w:pos="2880" w:leader="none"/>
          <w:tab w:val="left" w:pos="3600" w:leader="none"/>
        </w:tabs>
        <w:spacing w:lineRule="exact" w:line="220"/>
        <w:jc w:val="both"/>
        <w:rPr/>
      </w:pPr>
      <w:r>
        <w:rPr/>
      </w:r>
      <w:r>
        <mc:AlternateContent>
          <mc:Choice Requires="wps">
            <w:drawing>
              <wp:anchor behindDoc="0" distT="0" distB="0" distL="118745" distR="118745" simplePos="0" locked="0" layoutInCell="0" allowOverlap="1" relativeHeight="3">
                <wp:simplePos x="0" y="0"/>
                <wp:positionH relativeFrom="page">
                  <wp:posOffset>7224395</wp:posOffset>
                </wp:positionH>
                <wp:positionV relativeFrom="page">
                  <wp:posOffset>1710690</wp:posOffset>
                </wp:positionV>
                <wp:extent cx="274320" cy="7397750"/>
                <wp:effectExtent l="0" t="0" r="0" b="0"/>
                <wp:wrapSquare wrapText="bothSides"/>
                <wp:docPr id="2" name="Frame2"/>
                <a:graphic xmlns:a="http://schemas.openxmlformats.org/drawingml/2006/main">
                  <a:graphicData uri="http://schemas.microsoft.com/office/word/2010/wordprocessingShape">
                    <wps:wsp>
                      <wps:cNvSpPr txBox="1"/>
                      <wps:spPr>
                        <a:xfrm>
                          <a:off x="0" y="0"/>
                          <a:ext cx="274320" cy="7397750"/>
                        </a:xfrm>
                        <a:prstGeom prst="rect"/>
                        <a:solidFill>
                          <a:srgbClr val="FFFFFF">
                            <a:alpha val="0"/>
                          </a:srgbClr>
                        </a:solidFill>
                      </wps:spPr>
                      <wps:txbx>
                        <w:txbxContent>
                          <w:p>
                            <w:pPr>
                              <w:pStyle w:val="Normal"/>
                              <w:spacing w:lineRule="exact" w:line="220"/>
                              <w:rPr>
                                <w:rFonts w:ascii="Times New Roman" w:hAnsi="Times New Roman" w:cs="Times New Roman"/>
                              </w:rPr>
                            </w:pPr>
                            <w:r>
                              <w:rPr>
                                <w:rFonts w:cs="Times New Roman" w:ascii="Times New Roman" w:hAnsi="Times New Roman"/>
                              </w:rPr>
                            </w:r>
                          </w:p>
                        </w:txbxContent>
                      </wps:txbx>
                      <wps:bodyPr anchor="t" lIns="0" tIns="0" rIns="0" bIns="0">
                        <a:noAutofit/>
                      </wps:bodyPr>
                    </wps:wsp>
                  </a:graphicData>
                </a:graphic>
              </wp:anchor>
            </w:drawing>
          </mc:Choice>
          <mc:Fallback>
            <w:pict>
              <v:rect fillcolor="#FFFFFF" style="position:absolute;rotation:-0;width:21.6pt;height:582.5pt;mso-wrap-distance-left:9.35pt;mso-wrap-distance-right:9.35pt;mso-wrap-distance-top:0pt;mso-wrap-distance-bottom:0pt;margin-top:134.7pt;mso-position-vertical-relative:page;margin-left:568.85pt;mso-position-horizontal-relative:page">
                <v:fill opacity="0f"/>
                <v:textbox inset="0in,0in,0in,0in">
                  <w:txbxContent>
                    <w:p>
                      <w:pPr>
                        <w:pStyle w:val="Normal"/>
                        <w:spacing w:lineRule="exact" w:line="220"/>
                        <w:rPr>
                          <w:rFonts w:ascii="Times New Roman" w:hAnsi="Times New Roman" w:cs="Times New Roman"/>
                        </w:rPr>
                      </w:pPr>
                      <w:r>
                        <w:rPr>
                          <w:rFonts w:cs="Times New Roman" w:ascii="Times New Roman" w:hAnsi="Times New Roman"/>
                        </w:rPr>
                      </w:r>
                    </w:p>
                  </w:txbxContent>
                </v:textbox>
                <w10:wrap type="square"/>
              </v:rect>
            </w:pict>
          </mc:Fallback>
        </mc:AlternateContent>
      </w:r>
    </w:p>
    <w:sectPr>
      <w:headerReference w:type="default" r:id="rId2"/>
      <w:footerReference w:type="default" r:id="rId3"/>
      <w:type w:val="nextPage"/>
      <w:pgSz w:w="12240" w:h="15840"/>
      <w:pgMar w:left="1296" w:right="1296" w:gutter="0" w:header="288" w:top="2685" w:footer="21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188" w:type="dxa"/>
      <w:jc w:val="start"/>
      <w:tblInd w:w="0" w:type="dxa"/>
      <w:tblLayout w:type="fixed"/>
      <w:tblCellMar>
        <w:top w:w="0" w:type="dxa"/>
        <w:start w:w="108" w:type="dxa"/>
        <w:bottom w:w="0" w:type="dxa"/>
        <w:end w:w="108" w:type="dxa"/>
      </w:tblCellMar>
    </w:tblPr>
    <w:tblGrid>
      <w:gridCol w:w="1548"/>
      <w:gridCol w:w="1350"/>
      <w:gridCol w:w="900"/>
      <w:gridCol w:w="2700"/>
      <w:gridCol w:w="540"/>
      <w:gridCol w:w="1260"/>
      <w:gridCol w:w="180"/>
      <w:gridCol w:w="410"/>
      <w:gridCol w:w="1300"/>
    </w:tblGrid>
    <w:tr>
      <w:trPr/>
      <w:tc>
        <w:tcPr>
          <w:tcW w:w="1548" w:type="dxa"/>
          <w:tcBorders/>
        </w:tcPr>
        <w:p>
          <w:pPr>
            <w:pStyle w:val="Footer"/>
            <w:tabs>
              <w:tab w:val="clear" w:pos="4320"/>
              <w:tab w:val="clear" w:pos="8640"/>
              <w:tab w:val="center" w:pos="4932" w:leader="none"/>
            </w:tabs>
            <w:snapToGrid w:val="false"/>
            <w:rPr>
              <w:sz w:val="18"/>
            </w:rPr>
          </w:pPr>
          <w:r>
            <w:rPr>
              <w:sz w:val="18"/>
            </w:rPr>
          </w:r>
        </w:p>
      </w:tc>
      <w:tc>
        <w:tcPr>
          <w:tcW w:w="1350" w:type="dxa"/>
          <w:tcBorders/>
        </w:tcPr>
        <w:p>
          <w:pPr>
            <w:pStyle w:val="Footer"/>
            <w:tabs>
              <w:tab w:val="clear" w:pos="4320"/>
              <w:tab w:val="clear" w:pos="8640"/>
              <w:tab w:val="center" w:pos="4932" w:leader="none"/>
            </w:tabs>
            <w:snapToGrid w:val="false"/>
            <w:rPr>
              <w:sz w:val="18"/>
            </w:rPr>
          </w:pPr>
          <w:r>
            <w:rPr>
              <w:sz w:val="18"/>
            </w:rPr>
          </w:r>
        </w:p>
      </w:tc>
      <w:tc>
        <w:tcPr>
          <w:tcW w:w="900" w:type="dxa"/>
          <w:tcBorders/>
        </w:tcPr>
        <w:p>
          <w:pPr>
            <w:pStyle w:val="Footer"/>
            <w:tabs>
              <w:tab w:val="clear" w:pos="4320"/>
              <w:tab w:val="clear" w:pos="8640"/>
              <w:tab w:val="center" w:pos="4932" w:leader="none"/>
            </w:tabs>
            <w:snapToGrid w:val="false"/>
            <w:rPr>
              <w:sz w:val="18"/>
            </w:rPr>
          </w:pPr>
          <w:r>
            <w:rPr>
              <w:sz w:val="18"/>
            </w:rPr>
          </w:r>
        </w:p>
      </w:tc>
      <w:tc>
        <w:tcPr>
          <w:tcW w:w="2700" w:type="dxa"/>
          <w:tcBorders/>
        </w:tcPr>
        <w:p>
          <w:pPr>
            <w:pStyle w:val="Footer"/>
            <w:tabs>
              <w:tab w:val="clear" w:pos="4320"/>
              <w:tab w:val="clear" w:pos="8640"/>
              <w:tab w:val="center" w:pos="4932" w:leader="none"/>
            </w:tabs>
            <w:snapToGrid w:val="false"/>
            <w:jc w:val="center"/>
            <w:rPr>
              <w:sz w:val="18"/>
            </w:rPr>
          </w:pPr>
          <w:r>
            <w:rPr>
              <w:sz w:val="18"/>
            </w:rPr>
          </w:r>
        </w:p>
      </w:tc>
      <w:tc>
        <w:tcPr>
          <w:tcW w:w="540" w:type="dxa"/>
          <w:tcBorders/>
        </w:tcPr>
        <w:p>
          <w:pPr>
            <w:pStyle w:val="Footer"/>
            <w:tabs>
              <w:tab w:val="clear" w:pos="4320"/>
              <w:tab w:val="clear" w:pos="8640"/>
              <w:tab w:val="center" w:pos="4932" w:leader="none"/>
            </w:tabs>
            <w:snapToGrid w:val="false"/>
            <w:rPr>
              <w:sz w:val="18"/>
            </w:rPr>
          </w:pPr>
          <w:r>
            <w:rPr>
              <w:sz w:val="18"/>
            </w:rPr>
          </w:r>
        </w:p>
      </w:tc>
      <w:tc>
        <w:tcPr>
          <w:tcW w:w="1260" w:type="dxa"/>
          <w:tcBorders/>
        </w:tcPr>
        <w:p>
          <w:pPr>
            <w:pStyle w:val="Footer"/>
            <w:tabs>
              <w:tab w:val="clear" w:pos="4320"/>
              <w:tab w:val="clear" w:pos="8640"/>
              <w:tab w:val="center" w:pos="4932" w:leader="none"/>
            </w:tabs>
            <w:snapToGrid w:val="false"/>
            <w:rPr>
              <w:sz w:val="18"/>
            </w:rPr>
          </w:pPr>
          <w:r>
            <w:rPr>
              <w:sz w:val="18"/>
            </w:rPr>
          </w:r>
        </w:p>
      </w:tc>
      <w:tc>
        <w:tcPr>
          <w:tcW w:w="590" w:type="dxa"/>
          <w:gridSpan w:val="2"/>
          <w:tcBorders/>
        </w:tcPr>
        <w:p>
          <w:pPr>
            <w:pStyle w:val="Footer"/>
            <w:tabs>
              <w:tab w:val="clear" w:pos="4320"/>
              <w:tab w:val="clear" w:pos="8640"/>
              <w:tab w:val="center" w:pos="4932" w:leader="none"/>
            </w:tabs>
            <w:snapToGrid w:val="false"/>
            <w:rPr>
              <w:sz w:val="18"/>
            </w:rPr>
          </w:pPr>
          <w:r>
            <w:rPr>
              <w:sz w:val="18"/>
            </w:rPr>
          </w:r>
        </w:p>
      </w:tc>
      <w:tc>
        <w:tcPr>
          <w:tcW w:w="1300" w:type="dxa"/>
          <w:tcBorders/>
        </w:tcPr>
        <w:p>
          <w:pPr>
            <w:pStyle w:val="Footer"/>
            <w:tabs>
              <w:tab w:val="clear" w:pos="4320"/>
              <w:tab w:val="clear" w:pos="8640"/>
              <w:tab w:val="center" w:pos="4932" w:leader="none"/>
            </w:tabs>
            <w:snapToGrid w:val="false"/>
            <w:rPr>
              <w:sz w:val="18"/>
            </w:rPr>
          </w:pPr>
          <w:r>
            <w:rPr>
              <w:sz w:val="18"/>
            </w:rPr>
          </w:r>
        </w:p>
      </w:tc>
    </w:tr>
    <w:tr>
      <w:trPr/>
      <w:tc>
        <w:tcPr>
          <w:tcW w:w="1548" w:type="dxa"/>
          <w:tcBorders/>
        </w:tcPr>
        <w:p>
          <w:pPr>
            <w:pStyle w:val="Footer"/>
            <w:tabs>
              <w:tab w:val="clear" w:pos="4320"/>
              <w:tab w:val="clear" w:pos="8640"/>
              <w:tab w:val="center" w:pos="4932" w:leader="none"/>
            </w:tabs>
            <w:snapToGrid w:val="false"/>
            <w:rPr>
              <w:sz w:val="18"/>
            </w:rPr>
          </w:pPr>
          <w:r>
            <w:rPr>
              <w:sz w:val="18"/>
            </w:rPr>
          </w:r>
        </w:p>
      </w:tc>
      <w:tc>
        <w:tcPr>
          <w:tcW w:w="1350" w:type="dxa"/>
          <w:tcBorders/>
        </w:tcPr>
        <w:p>
          <w:pPr>
            <w:pStyle w:val="Footer"/>
            <w:tabs>
              <w:tab w:val="clear" w:pos="4320"/>
              <w:tab w:val="clear" w:pos="8640"/>
              <w:tab w:val="center" w:pos="4932" w:leader="none"/>
            </w:tabs>
            <w:snapToGrid w:val="false"/>
            <w:rPr>
              <w:sz w:val="18"/>
            </w:rPr>
          </w:pPr>
          <w:r>
            <w:rPr>
              <w:sz w:val="18"/>
            </w:rPr>
          </w:r>
        </w:p>
      </w:tc>
      <w:tc>
        <w:tcPr>
          <w:tcW w:w="900" w:type="dxa"/>
          <w:tcBorders/>
        </w:tcPr>
        <w:p>
          <w:pPr>
            <w:pStyle w:val="Footer"/>
            <w:tabs>
              <w:tab w:val="clear" w:pos="4320"/>
              <w:tab w:val="clear" w:pos="8640"/>
              <w:tab w:val="center" w:pos="4932" w:leader="none"/>
            </w:tabs>
            <w:snapToGrid w:val="false"/>
            <w:rPr>
              <w:sz w:val="18"/>
            </w:rPr>
          </w:pPr>
          <w:r>
            <w:rPr>
              <w:sz w:val="18"/>
            </w:rPr>
          </w:r>
        </w:p>
      </w:tc>
      <w:tc>
        <w:tcPr>
          <w:tcW w:w="2700" w:type="dxa"/>
          <w:tcBorders/>
        </w:tcPr>
        <w:p>
          <w:pPr>
            <w:pStyle w:val="Footer"/>
            <w:tabs>
              <w:tab w:val="clear" w:pos="4320"/>
              <w:tab w:val="clear" w:pos="8640"/>
              <w:tab w:val="center" w:pos="4932" w:leader="none"/>
            </w:tabs>
            <w:snapToGrid w:val="false"/>
            <w:rPr>
              <w:sz w:val="18"/>
            </w:rPr>
          </w:pPr>
          <w:r>
            <w:rPr>
              <w:sz w:val="18"/>
            </w:rPr>
          </w:r>
        </w:p>
      </w:tc>
      <w:tc>
        <w:tcPr>
          <w:tcW w:w="540" w:type="dxa"/>
          <w:tcBorders/>
        </w:tcPr>
        <w:p>
          <w:pPr>
            <w:pStyle w:val="Footer"/>
            <w:tabs>
              <w:tab w:val="clear" w:pos="4320"/>
              <w:tab w:val="clear" w:pos="8640"/>
              <w:tab w:val="center" w:pos="4932" w:leader="none"/>
            </w:tabs>
            <w:snapToGrid w:val="false"/>
            <w:rPr>
              <w:sz w:val="18"/>
            </w:rPr>
          </w:pPr>
          <w:r>
            <w:rPr>
              <w:sz w:val="18"/>
            </w:rPr>
          </w:r>
        </w:p>
      </w:tc>
      <w:tc>
        <w:tcPr>
          <w:tcW w:w="1260" w:type="dxa"/>
          <w:tcBorders/>
        </w:tcPr>
        <w:p>
          <w:pPr>
            <w:pStyle w:val="Footer"/>
            <w:tabs>
              <w:tab w:val="clear" w:pos="4320"/>
              <w:tab w:val="clear" w:pos="8640"/>
              <w:tab w:val="center" w:pos="4932" w:leader="none"/>
            </w:tabs>
            <w:snapToGrid w:val="false"/>
            <w:rPr>
              <w:sz w:val="18"/>
            </w:rPr>
          </w:pPr>
          <w:r>
            <w:rPr>
              <w:sz w:val="18"/>
            </w:rPr>
          </w:r>
        </w:p>
      </w:tc>
      <w:tc>
        <w:tcPr>
          <w:tcW w:w="590" w:type="dxa"/>
          <w:gridSpan w:val="2"/>
          <w:tcBorders/>
        </w:tcPr>
        <w:p>
          <w:pPr>
            <w:pStyle w:val="Footer"/>
            <w:tabs>
              <w:tab w:val="clear" w:pos="4320"/>
              <w:tab w:val="clear" w:pos="8640"/>
              <w:tab w:val="center" w:pos="4932" w:leader="none"/>
            </w:tabs>
            <w:snapToGrid w:val="false"/>
            <w:rPr>
              <w:sz w:val="18"/>
            </w:rPr>
          </w:pPr>
          <w:r>
            <w:rPr>
              <w:sz w:val="18"/>
            </w:rPr>
          </w:r>
        </w:p>
      </w:tc>
      <w:tc>
        <w:tcPr>
          <w:tcW w:w="1300" w:type="dxa"/>
          <w:tcBorders/>
        </w:tcPr>
        <w:p>
          <w:pPr>
            <w:pStyle w:val="Footer"/>
            <w:tabs>
              <w:tab w:val="clear" w:pos="4320"/>
              <w:tab w:val="clear" w:pos="8640"/>
              <w:tab w:val="center" w:pos="4932" w:leader="none"/>
            </w:tabs>
            <w:snapToGrid w:val="false"/>
            <w:rPr>
              <w:sz w:val="18"/>
            </w:rPr>
          </w:pPr>
          <w:r>
            <w:rPr>
              <w:sz w:val="18"/>
            </w:rPr>
          </w:r>
        </w:p>
      </w:tc>
    </w:tr>
    <w:tr>
      <w:trPr/>
      <w:tc>
        <w:tcPr>
          <w:tcW w:w="1548" w:type="dxa"/>
          <w:tcBorders/>
        </w:tcPr>
        <w:p>
          <w:pPr>
            <w:pStyle w:val="Footer"/>
            <w:tabs>
              <w:tab w:val="clear" w:pos="4320"/>
              <w:tab w:val="clear" w:pos="8640"/>
              <w:tab w:val="center" w:pos="4932" w:leader="none"/>
            </w:tabs>
            <w:snapToGrid w:val="false"/>
            <w:rPr>
              <w:sz w:val="18"/>
            </w:rPr>
          </w:pPr>
          <w:r>
            <w:rPr>
              <w:sz w:val="18"/>
            </w:rPr>
          </w:r>
        </w:p>
      </w:tc>
      <w:tc>
        <w:tcPr>
          <w:tcW w:w="1350" w:type="dxa"/>
          <w:tcBorders/>
        </w:tcPr>
        <w:p>
          <w:pPr>
            <w:pStyle w:val="Footer"/>
            <w:tabs>
              <w:tab w:val="clear" w:pos="4320"/>
              <w:tab w:val="clear" w:pos="8640"/>
              <w:tab w:val="center" w:pos="4932" w:leader="none"/>
            </w:tabs>
            <w:snapToGrid w:val="false"/>
            <w:rPr>
              <w:sz w:val="18"/>
            </w:rPr>
          </w:pPr>
          <w:r>
            <w:rPr>
              <w:sz w:val="18"/>
            </w:rPr>
          </w:r>
        </w:p>
      </w:tc>
      <w:tc>
        <w:tcPr>
          <w:tcW w:w="900" w:type="dxa"/>
          <w:tcBorders/>
        </w:tcPr>
        <w:p>
          <w:pPr>
            <w:pStyle w:val="Footer"/>
            <w:tabs>
              <w:tab w:val="clear" w:pos="4320"/>
              <w:tab w:val="clear" w:pos="8640"/>
              <w:tab w:val="center" w:pos="4932" w:leader="none"/>
            </w:tabs>
            <w:snapToGrid w:val="false"/>
            <w:rPr>
              <w:sz w:val="18"/>
            </w:rPr>
          </w:pPr>
          <w:r>
            <w:rPr>
              <w:sz w:val="18"/>
            </w:rPr>
          </w:r>
        </w:p>
      </w:tc>
      <w:tc>
        <w:tcPr>
          <w:tcW w:w="2700" w:type="dxa"/>
          <w:tcBorders/>
        </w:tcPr>
        <w:p>
          <w:pPr>
            <w:pStyle w:val="Footer"/>
            <w:tabs>
              <w:tab w:val="clear" w:pos="4320"/>
              <w:tab w:val="clear" w:pos="8640"/>
              <w:tab w:val="center" w:pos="4932" w:leader="none"/>
            </w:tabs>
            <w:jc w:val="center"/>
            <w:rPr>
              <w:sz w:val="18"/>
            </w:rPr>
          </w:pPr>
          <w:r>
            <w:rPr>
              <w:sz w:val="18"/>
            </w:rPr>
            <w:t>Issued by</w:t>
          </w:r>
        </w:p>
      </w:tc>
      <w:tc>
        <w:tcPr>
          <w:tcW w:w="540" w:type="dxa"/>
          <w:tcBorders/>
        </w:tcPr>
        <w:p>
          <w:pPr>
            <w:pStyle w:val="Footer"/>
            <w:tabs>
              <w:tab w:val="clear" w:pos="4320"/>
              <w:tab w:val="clear" w:pos="8640"/>
              <w:tab w:val="center" w:pos="4932" w:leader="none"/>
            </w:tabs>
            <w:snapToGrid w:val="false"/>
            <w:rPr>
              <w:sz w:val="18"/>
            </w:rPr>
          </w:pPr>
          <w:r>
            <w:rPr>
              <w:sz w:val="18"/>
            </w:rPr>
          </w:r>
        </w:p>
      </w:tc>
      <w:tc>
        <w:tcPr>
          <w:tcW w:w="1260" w:type="dxa"/>
          <w:tcBorders/>
        </w:tcPr>
        <w:p>
          <w:pPr>
            <w:pStyle w:val="Footer"/>
            <w:tabs>
              <w:tab w:val="clear" w:pos="4320"/>
              <w:tab w:val="clear" w:pos="8640"/>
              <w:tab w:val="center" w:pos="4932" w:leader="none"/>
            </w:tabs>
            <w:rPr>
              <w:sz w:val="18"/>
            </w:rPr>
          </w:pPr>
          <w:r>
            <w:rPr>
              <w:sz w:val="18"/>
            </w:rPr>
            <w:t>Date Filed</w:t>
          </w:r>
        </w:p>
      </w:tc>
      <w:tc>
        <w:tcPr>
          <w:tcW w:w="1890" w:type="dxa"/>
          <w:gridSpan w:val="3"/>
          <w:tcBorders/>
        </w:tcPr>
        <w:p>
          <w:pPr>
            <w:pStyle w:val="Footer"/>
            <w:tabs>
              <w:tab w:val="clear" w:pos="4320"/>
              <w:tab w:val="clear" w:pos="8640"/>
              <w:tab w:val="center" w:pos="4932" w:leader="none"/>
            </w:tabs>
            <w:snapToGrid w:val="false"/>
            <w:jc w:val="end"/>
            <w:rPr>
              <w:sz w:val="18"/>
            </w:rPr>
          </w:pPr>
          <w:r>
            <w:rPr>
              <w:sz w:val="18"/>
            </w:rPr>
          </w:r>
        </w:p>
      </w:tc>
    </w:tr>
    <w:tr>
      <w:trPr/>
      <w:tc>
        <w:tcPr>
          <w:tcW w:w="1548" w:type="dxa"/>
          <w:tcBorders/>
        </w:tcPr>
        <w:p>
          <w:pPr>
            <w:pStyle w:val="Footer"/>
            <w:tabs>
              <w:tab w:val="clear" w:pos="4320"/>
              <w:tab w:val="clear" w:pos="8640"/>
              <w:tab w:val="center" w:pos="4932" w:leader="none"/>
            </w:tabs>
            <w:rPr>
              <w:position w:val="-24"/>
              <w:sz w:val="18"/>
            </w:rPr>
          </w:pPr>
          <w:r>
            <w:rPr>
              <w:position w:val="-24"/>
              <w:sz w:val="18"/>
            </w:rPr>
            <w:t>Advice Ltr. No.</w:t>
          </w:r>
        </w:p>
      </w:tc>
      <w:tc>
        <w:tcPr>
          <w:tcW w:w="1350" w:type="dxa"/>
          <w:tcBorders>
            <w:bottom w:val="single" w:sz="6" w:space="0" w:color="000000"/>
          </w:tcBorders>
        </w:tcPr>
        <w:p>
          <w:pPr>
            <w:pStyle w:val="Footer"/>
            <w:tabs>
              <w:tab w:val="clear" w:pos="4320"/>
              <w:tab w:val="clear" w:pos="8640"/>
              <w:tab w:val="center" w:pos="4932" w:leader="none"/>
            </w:tabs>
            <w:snapToGrid w:val="false"/>
            <w:rPr>
              <w:position w:val="-22"/>
              <w:sz w:val="18"/>
            </w:rPr>
          </w:pPr>
          <w:r>
            <w:rPr>
              <w:position w:val="-22"/>
              <w:sz w:val="18"/>
            </w:rPr>
          </w:r>
        </w:p>
      </w:tc>
      <w:tc>
        <w:tcPr>
          <w:tcW w:w="900" w:type="dxa"/>
          <w:tcBorders/>
        </w:tcPr>
        <w:p>
          <w:pPr>
            <w:pStyle w:val="Footer"/>
            <w:tabs>
              <w:tab w:val="clear" w:pos="4320"/>
              <w:tab w:val="clear" w:pos="8640"/>
              <w:tab w:val="center" w:pos="4932" w:leader="none"/>
            </w:tabs>
            <w:snapToGrid w:val="false"/>
            <w:rPr>
              <w:position w:val="-24"/>
              <w:sz w:val="18"/>
            </w:rPr>
          </w:pPr>
          <w:r>
            <w:rPr>
              <w:position w:val="-24"/>
              <w:sz w:val="18"/>
            </w:rPr>
          </w:r>
        </w:p>
      </w:tc>
      <w:tc>
        <w:tcPr>
          <w:tcW w:w="2700" w:type="dxa"/>
          <w:tcBorders/>
        </w:tcPr>
        <w:p>
          <w:pPr>
            <w:pStyle w:val="Footer"/>
            <w:tabs>
              <w:tab w:val="clear" w:pos="4320"/>
              <w:tab w:val="clear" w:pos="8640"/>
              <w:tab w:val="center" w:pos="4932" w:leader="none"/>
            </w:tabs>
            <w:jc w:val="center"/>
            <w:rPr>
              <w:b/>
              <w:sz w:val="22"/>
            </w:rPr>
          </w:pPr>
          <w:r>
            <w:rPr>
              <w:b/>
              <w:sz w:val="22"/>
            </w:rPr>
            <w:t>William L. Reed</w:t>
          </w:r>
        </w:p>
      </w:tc>
      <w:tc>
        <w:tcPr>
          <w:tcW w:w="540" w:type="dxa"/>
          <w:tcBorders/>
        </w:tcPr>
        <w:p>
          <w:pPr>
            <w:pStyle w:val="Footer"/>
            <w:tabs>
              <w:tab w:val="clear" w:pos="4320"/>
              <w:tab w:val="clear" w:pos="8640"/>
              <w:tab w:val="center" w:pos="4932" w:leader="none"/>
            </w:tabs>
            <w:snapToGrid w:val="false"/>
            <w:rPr>
              <w:b/>
              <w:position w:val="-24"/>
              <w:sz w:val="18"/>
            </w:rPr>
          </w:pPr>
          <w:r>
            <w:rPr>
              <w:b/>
              <w:position w:val="-24"/>
              <w:sz w:val="18"/>
            </w:rPr>
          </w:r>
        </w:p>
      </w:tc>
      <w:tc>
        <w:tcPr>
          <w:tcW w:w="1260" w:type="dxa"/>
          <w:tcBorders/>
        </w:tcPr>
        <w:p>
          <w:pPr>
            <w:pStyle w:val="Footer"/>
            <w:tabs>
              <w:tab w:val="clear" w:pos="4320"/>
              <w:tab w:val="clear" w:pos="8640"/>
              <w:tab w:val="center" w:pos="4932" w:leader="none"/>
            </w:tabs>
            <w:rPr>
              <w:position w:val="-24"/>
              <w:sz w:val="18"/>
            </w:rPr>
          </w:pPr>
          <w:r>
            <w:rPr>
              <w:position w:val="-24"/>
              <w:sz w:val="18"/>
            </w:rPr>
            <w:t>Effective</w:t>
          </w:r>
        </w:p>
      </w:tc>
      <w:tc>
        <w:tcPr>
          <w:tcW w:w="1890" w:type="dxa"/>
          <w:gridSpan w:val="3"/>
          <w:tcBorders>
            <w:top w:val="single" w:sz="6" w:space="0" w:color="000000"/>
            <w:bottom w:val="single" w:sz="6" w:space="0" w:color="000000"/>
          </w:tcBorders>
        </w:tcPr>
        <w:p>
          <w:pPr>
            <w:pStyle w:val="Footer"/>
            <w:tabs>
              <w:tab w:val="clear" w:pos="4320"/>
              <w:tab w:val="clear" w:pos="8640"/>
              <w:tab w:val="center" w:pos="4932" w:leader="none"/>
            </w:tabs>
            <w:snapToGrid w:val="false"/>
            <w:jc w:val="end"/>
            <w:rPr>
              <w:position w:val="-24"/>
              <w:sz w:val="18"/>
            </w:rPr>
          </w:pPr>
          <w:r>
            <w:rPr>
              <w:position w:val="-24"/>
              <w:sz w:val="18"/>
            </w:rPr>
          </w:r>
        </w:p>
      </w:tc>
    </w:tr>
    <w:tr>
      <w:trPr/>
      <w:tc>
        <w:tcPr>
          <w:tcW w:w="1548" w:type="dxa"/>
          <w:tcBorders/>
        </w:tcPr>
        <w:p>
          <w:pPr>
            <w:pStyle w:val="Footer"/>
            <w:tabs>
              <w:tab w:val="clear" w:pos="4320"/>
              <w:tab w:val="clear" w:pos="8640"/>
              <w:tab w:val="center" w:pos="4932" w:leader="none"/>
            </w:tabs>
            <w:snapToGrid w:val="false"/>
            <w:rPr>
              <w:position w:val="-24"/>
              <w:sz w:val="18"/>
            </w:rPr>
          </w:pPr>
          <w:r>
            <w:rPr>
              <w:position w:val="-24"/>
              <w:sz w:val="18"/>
            </w:rPr>
          </w:r>
        </w:p>
      </w:tc>
      <w:tc>
        <w:tcPr>
          <w:tcW w:w="1350" w:type="dxa"/>
          <w:tcBorders/>
        </w:tcPr>
        <w:p>
          <w:pPr>
            <w:pStyle w:val="Footer"/>
            <w:tabs>
              <w:tab w:val="clear" w:pos="4320"/>
              <w:tab w:val="clear" w:pos="8640"/>
              <w:tab w:val="center" w:pos="4932" w:leader="none"/>
            </w:tabs>
            <w:snapToGrid w:val="false"/>
            <w:rPr>
              <w:sz w:val="18"/>
            </w:rPr>
          </w:pPr>
          <w:r>
            <w:rPr>
              <w:sz w:val="18"/>
            </w:rPr>
          </w:r>
        </w:p>
      </w:tc>
      <w:tc>
        <w:tcPr>
          <w:tcW w:w="900" w:type="dxa"/>
          <w:tcBorders/>
        </w:tcPr>
        <w:p>
          <w:pPr>
            <w:pStyle w:val="Footer"/>
            <w:tabs>
              <w:tab w:val="clear" w:pos="4320"/>
              <w:tab w:val="clear" w:pos="8640"/>
              <w:tab w:val="center" w:pos="4932" w:leader="none"/>
            </w:tabs>
            <w:snapToGrid w:val="false"/>
            <w:rPr>
              <w:sz w:val="18"/>
            </w:rPr>
          </w:pPr>
          <w:r>
            <w:rPr>
              <w:sz w:val="18"/>
            </w:rPr>
          </w:r>
        </w:p>
      </w:tc>
      <w:tc>
        <w:tcPr>
          <w:tcW w:w="2700" w:type="dxa"/>
          <w:tcBorders/>
        </w:tcPr>
        <w:p>
          <w:pPr>
            <w:pStyle w:val="Footer"/>
            <w:tabs>
              <w:tab w:val="clear" w:pos="4320"/>
              <w:tab w:val="clear" w:pos="8640"/>
              <w:tab w:val="center" w:pos="4932" w:leader="none"/>
            </w:tabs>
            <w:jc w:val="center"/>
            <w:rPr>
              <w:sz w:val="18"/>
            </w:rPr>
          </w:pPr>
          <w:r>
            <w:rPr>
              <w:sz w:val="18"/>
            </w:rPr>
            <w:t>Vice President</w:t>
          </w:r>
        </w:p>
      </w:tc>
      <w:tc>
        <w:tcPr>
          <w:tcW w:w="540" w:type="dxa"/>
          <w:tcBorders/>
        </w:tcPr>
        <w:p>
          <w:pPr>
            <w:pStyle w:val="Footer"/>
            <w:tabs>
              <w:tab w:val="clear" w:pos="4320"/>
              <w:tab w:val="clear" w:pos="8640"/>
              <w:tab w:val="center" w:pos="4932" w:leader="none"/>
            </w:tabs>
            <w:snapToGrid w:val="false"/>
            <w:rPr>
              <w:sz w:val="18"/>
            </w:rPr>
          </w:pPr>
          <w:r>
            <w:rPr>
              <w:sz w:val="18"/>
            </w:rPr>
          </w:r>
        </w:p>
      </w:tc>
      <w:tc>
        <w:tcPr>
          <w:tcW w:w="1260" w:type="dxa"/>
          <w:tcBorders/>
        </w:tcPr>
        <w:p>
          <w:pPr>
            <w:pStyle w:val="Footer"/>
            <w:tabs>
              <w:tab w:val="clear" w:pos="4320"/>
              <w:tab w:val="clear" w:pos="8640"/>
              <w:tab w:val="center" w:pos="4932" w:leader="none"/>
            </w:tabs>
            <w:snapToGrid w:val="false"/>
            <w:rPr>
              <w:sz w:val="18"/>
            </w:rPr>
          </w:pPr>
          <w:r>
            <w:rPr>
              <w:sz w:val="18"/>
            </w:rPr>
          </w:r>
        </w:p>
      </w:tc>
      <w:tc>
        <w:tcPr>
          <w:tcW w:w="590" w:type="dxa"/>
          <w:gridSpan w:val="2"/>
          <w:tcBorders/>
        </w:tcPr>
        <w:p>
          <w:pPr>
            <w:pStyle w:val="Footer"/>
            <w:tabs>
              <w:tab w:val="clear" w:pos="4320"/>
              <w:tab w:val="clear" w:pos="8640"/>
              <w:tab w:val="center" w:pos="4932" w:leader="none"/>
            </w:tabs>
            <w:snapToGrid w:val="false"/>
            <w:rPr>
              <w:sz w:val="18"/>
            </w:rPr>
          </w:pPr>
          <w:r>
            <w:rPr>
              <w:sz w:val="18"/>
            </w:rPr>
          </w:r>
        </w:p>
      </w:tc>
      <w:tc>
        <w:tcPr>
          <w:tcW w:w="1300" w:type="dxa"/>
          <w:tcBorders/>
        </w:tcPr>
        <w:p>
          <w:pPr>
            <w:pStyle w:val="Footer"/>
            <w:tabs>
              <w:tab w:val="clear" w:pos="4320"/>
              <w:tab w:val="clear" w:pos="8640"/>
              <w:tab w:val="center" w:pos="4932" w:leader="none"/>
            </w:tabs>
            <w:snapToGrid w:val="false"/>
            <w:rPr>
              <w:sz w:val="18"/>
            </w:rPr>
          </w:pPr>
          <w:r>
            <w:rPr>
              <w:sz w:val="18"/>
            </w:rPr>
          </w:r>
        </w:p>
      </w:tc>
    </w:tr>
    <w:tr>
      <w:trPr/>
      <w:tc>
        <w:tcPr>
          <w:tcW w:w="1548" w:type="dxa"/>
          <w:tcBorders/>
        </w:tcPr>
        <w:p>
          <w:pPr>
            <w:pStyle w:val="Footer"/>
            <w:tabs>
              <w:tab w:val="clear" w:pos="4320"/>
              <w:tab w:val="clear" w:pos="8640"/>
              <w:tab w:val="center" w:pos="4932" w:leader="none"/>
            </w:tabs>
            <w:rPr>
              <w:sz w:val="18"/>
            </w:rPr>
          </w:pPr>
          <w:r>
            <w:rPr>
              <w:sz w:val="18"/>
            </w:rPr>
            <w:t>Decision No.</w:t>
          </w:r>
        </w:p>
      </w:tc>
      <w:tc>
        <w:tcPr>
          <w:tcW w:w="1350" w:type="dxa"/>
          <w:tcBorders>
            <w:bottom w:val="single" w:sz="6" w:space="0" w:color="000000"/>
          </w:tcBorders>
        </w:tcPr>
        <w:p>
          <w:pPr>
            <w:pStyle w:val="Footer"/>
            <w:tabs>
              <w:tab w:val="clear" w:pos="4320"/>
              <w:tab w:val="clear" w:pos="8640"/>
              <w:tab w:val="center" w:pos="4932" w:leader="none"/>
            </w:tabs>
            <w:snapToGrid w:val="false"/>
            <w:rPr>
              <w:sz w:val="18"/>
            </w:rPr>
          </w:pPr>
          <w:r>
            <w:rPr>
              <w:sz w:val="18"/>
            </w:rPr>
          </w:r>
        </w:p>
      </w:tc>
      <w:tc>
        <w:tcPr>
          <w:tcW w:w="900" w:type="dxa"/>
          <w:tcBorders/>
        </w:tcPr>
        <w:p>
          <w:pPr>
            <w:pStyle w:val="Footer"/>
            <w:tabs>
              <w:tab w:val="clear" w:pos="4320"/>
              <w:tab w:val="clear" w:pos="8640"/>
              <w:tab w:val="center" w:pos="4932" w:leader="none"/>
            </w:tabs>
            <w:snapToGrid w:val="false"/>
            <w:rPr>
              <w:sz w:val="18"/>
            </w:rPr>
          </w:pPr>
          <w:r>
            <w:rPr>
              <w:sz w:val="18"/>
            </w:rPr>
          </w:r>
        </w:p>
      </w:tc>
      <w:tc>
        <w:tcPr>
          <w:tcW w:w="2700" w:type="dxa"/>
          <w:tcBorders/>
        </w:tcPr>
        <w:p>
          <w:pPr>
            <w:pStyle w:val="Footer"/>
            <w:tabs>
              <w:tab w:val="clear" w:pos="4320"/>
              <w:tab w:val="clear" w:pos="8640"/>
              <w:tab w:val="center" w:pos="4932" w:leader="none"/>
            </w:tabs>
            <w:jc w:val="center"/>
            <w:rPr>
              <w:sz w:val="18"/>
            </w:rPr>
          </w:pPr>
          <w:r>
            <w:rPr>
              <w:sz w:val="18"/>
            </w:rPr>
            <w:t>Chief Regulatory Officer</w:t>
          </w:r>
        </w:p>
      </w:tc>
      <w:tc>
        <w:tcPr>
          <w:tcW w:w="540" w:type="dxa"/>
          <w:tcBorders/>
        </w:tcPr>
        <w:p>
          <w:pPr>
            <w:pStyle w:val="Footer"/>
            <w:tabs>
              <w:tab w:val="clear" w:pos="4320"/>
              <w:tab w:val="clear" w:pos="8640"/>
              <w:tab w:val="center" w:pos="4932" w:leader="none"/>
            </w:tabs>
            <w:snapToGrid w:val="false"/>
            <w:rPr>
              <w:sz w:val="18"/>
            </w:rPr>
          </w:pPr>
          <w:r>
            <w:rPr>
              <w:sz w:val="18"/>
            </w:rPr>
          </w:r>
        </w:p>
      </w:tc>
      <w:tc>
        <w:tcPr>
          <w:tcW w:w="1440" w:type="dxa"/>
          <w:gridSpan w:val="2"/>
          <w:tcBorders/>
        </w:tcPr>
        <w:p>
          <w:pPr>
            <w:pStyle w:val="Footer"/>
            <w:tabs>
              <w:tab w:val="clear" w:pos="4320"/>
              <w:tab w:val="clear" w:pos="8640"/>
              <w:tab w:val="center" w:pos="4932" w:leader="none"/>
            </w:tabs>
            <w:rPr>
              <w:sz w:val="18"/>
            </w:rPr>
          </w:pPr>
          <w:r>
            <w:rPr>
              <w:sz w:val="18"/>
            </w:rPr>
            <w:t>Resolution No.</w:t>
          </w:r>
        </w:p>
      </w:tc>
      <w:tc>
        <w:tcPr>
          <w:tcW w:w="1710" w:type="dxa"/>
          <w:gridSpan w:val="2"/>
          <w:tcBorders>
            <w:bottom w:val="single" w:sz="6" w:space="0" w:color="000000"/>
          </w:tcBorders>
        </w:tcPr>
        <w:p>
          <w:pPr>
            <w:pStyle w:val="Footer"/>
            <w:tabs>
              <w:tab w:val="clear" w:pos="4320"/>
              <w:tab w:val="clear" w:pos="8640"/>
              <w:tab w:val="center" w:pos="4932" w:leader="none"/>
            </w:tabs>
            <w:snapToGrid w:val="false"/>
            <w:jc w:val="end"/>
            <w:rPr>
              <w:sz w:val="18"/>
            </w:rPr>
          </w:pPr>
          <w:r>
            <w:rPr>
              <w:sz w:val="18"/>
            </w:rPr>
          </w:r>
        </w:p>
      </w:tc>
    </w:tr>
  </w:tbl>
  <w:p>
    <w:pPr>
      <w:pStyle w:val="Footer"/>
      <w:tabs>
        <w:tab w:val="clear" w:pos="4320"/>
        <w:tab w:val="clear" w:pos="8640"/>
        <w:tab w:val="center" w:pos="4932" w:leader="none"/>
      </w:tabs>
      <w:rPr>
        <w:sz w:val="18"/>
      </w:rPr>
    </w:pPr>
    <w:r>
      <w:rPr>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3168"/>
      <w:gridCol w:w="1260"/>
      <w:gridCol w:w="1440"/>
      <w:gridCol w:w="2880"/>
      <w:gridCol w:w="1260"/>
    </w:tblGrid>
    <w:tr>
      <w:trPr>
        <w:trHeight w:val="220" w:hRule="exact"/>
      </w:trPr>
      <w:tc>
        <w:tcPr>
          <w:tcW w:w="3168" w:type="dxa"/>
          <w:tcBorders/>
        </w:tcPr>
        <w:p>
          <w:pPr>
            <w:pStyle w:val="Header"/>
            <w:tabs>
              <w:tab w:val="clear" w:pos="4320"/>
              <w:tab w:val="clear" w:pos="8640"/>
              <w:tab w:val="center" w:pos="4932" w:leader="none"/>
              <w:tab w:val="left" w:pos="6048" w:leader="none"/>
              <w:tab w:val="right" w:pos="9864" w:leader="none"/>
            </w:tabs>
            <w:snapToGrid w:val="false"/>
            <w:ind w:end="36"/>
            <w:rPr>
              <w:sz w:val="18"/>
              <w:lang w:val="en-CA"/>
            </w:rPr>
          </w:pPr>
          <w:r>
            <w:rPr>
              <w:sz w:val="18"/>
              <w:lang w:val="en-CA"/>
            </w:rPr>
            <w:drawing>
              <wp:anchor behindDoc="0" distT="0" distB="0" distL="114935" distR="114935" simplePos="0" locked="0" layoutInCell="0" allowOverlap="1" relativeHeight="7">
                <wp:simplePos x="0" y="0"/>
                <wp:positionH relativeFrom="margin">
                  <wp:posOffset>640080</wp:posOffset>
                </wp:positionH>
                <wp:positionV relativeFrom="page">
                  <wp:posOffset>255905</wp:posOffset>
                </wp:positionV>
                <wp:extent cx="552450" cy="314325"/>
                <wp:effectExtent l="0" t="0" r="0" b="0"/>
                <wp:wrapSquare wrapText="bothSides"/>
                <wp:docPr id="3" name="SDGE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GEBW" descr="" title=""/>
                        <pic:cNvPicPr>
                          <a:picLocks noChangeAspect="1" noChangeArrowheads="1"/>
                        </pic:cNvPicPr>
                      </pic:nvPicPr>
                      <pic:blipFill>
                        <a:blip r:embed="rId1"/>
                        <a:srcRect l="-4" t="-7" r="-4" b="-7"/>
                        <a:stretch>
                          <a:fillRect/>
                        </a:stretch>
                      </pic:blipFill>
                      <pic:spPr bwMode="auto">
                        <a:xfrm>
                          <a:off x="0" y="0"/>
                          <a:ext cx="552450" cy="314325"/>
                        </a:xfrm>
                        <a:prstGeom prst="rect">
                          <a:avLst/>
                        </a:prstGeom>
                        <a:noFill/>
                      </pic:spPr>
                    </pic:pic>
                  </a:graphicData>
                </a:graphic>
              </wp:anchor>
            </w:drawing>
          </w:r>
        </w:p>
      </w:tc>
      <w:tc>
        <w:tcPr>
          <w:tcW w:w="1260"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1440"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2880"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1260" w:type="dxa"/>
          <w:tcBorders/>
        </w:tcPr>
        <w:p>
          <w:pPr>
            <w:pStyle w:val="Header"/>
            <w:tabs>
              <w:tab w:val="clear" w:pos="4320"/>
              <w:tab w:val="clear" w:pos="8640"/>
              <w:tab w:val="center" w:pos="4932" w:leader="none"/>
              <w:tab w:val="left" w:pos="6048" w:leader="none"/>
              <w:tab w:val="right" w:pos="9864" w:leader="none"/>
            </w:tabs>
            <w:snapToGrid w:val="false"/>
            <w:ind w:end="36"/>
            <w:jc w:val="end"/>
            <w:rPr>
              <w:sz w:val="18"/>
            </w:rPr>
          </w:pPr>
          <w:r>
            <w:rPr>
              <w:sz w:val="18"/>
            </w:rPr>
          </w:r>
        </w:p>
      </w:tc>
    </w:tr>
    <w:tr>
      <w:trPr>
        <w:trHeight w:val="220" w:hRule="exact"/>
      </w:trPr>
      <w:tc>
        <w:tcPr>
          <w:tcW w:w="3168"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1260"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1440"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2880"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1260"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r>
    <w:tr>
      <w:trPr>
        <w:trHeight w:val="220" w:hRule="exact"/>
      </w:trPr>
      <w:tc>
        <w:tcPr>
          <w:tcW w:w="3168"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1260"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1440" w:type="dxa"/>
          <w:tcBorders/>
        </w:tcPr>
        <w:p>
          <w:pPr>
            <w:pStyle w:val="Header"/>
            <w:tabs>
              <w:tab w:val="clear" w:pos="4320"/>
              <w:tab w:val="clear" w:pos="8640"/>
              <w:tab w:val="center" w:pos="4932" w:leader="none"/>
              <w:tab w:val="left" w:pos="6048" w:leader="none"/>
              <w:tab w:val="right" w:pos="9864" w:leader="none"/>
            </w:tabs>
            <w:snapToGrid w:val="false"/>
            <w:ind w:end="36"/>
            <w:jc w:val="center"/>
            <w:rPr>
              <w:sz w:val="18"/>
            </w:rPr>
          </w:pPr>
          <w:r>
            <w:rPr>
              <w:sz w:val="18"/>
            </w:rPr>
          </w:r>
        </w:p>
      </w:tc>
      <w:tc>
        <w:tcPr>
          <w:tcW w:w="2880" w:type="dxa"/>
          <w:tcBorders/>
        </w:tcPr>
        <w:p>
          <w:pPr>
            <w:pStyle w:val="Header"/>
            <w:tabs>
              <w:tab w:val="clear" w:pos="4320"/>
              <w:tab w:val="clear" w:pos="8640"/>
              <w:tab w:val="left" w:pos="792" w:leader="none"/>
              <w:tab w:val="center" w:pos="4932" w:leader="none"/>
              <w:tab w:val="left" w:pos="6048" w:leader="none"/>
              <w:tab w:val="right" w:pos="9864" w:leader="none"/>
            </w:tabs>
            <w:snapToGrid w:val="false"/>
            <w:ind w:end="36"/>
            <w:rPr>
              <w:sz w:val="18"/>
            </w:rPr>
          </w:pPr>
          <w:r>
            <w:rPr>
              <w:sz w:val="18"/>
            </w:rPr>
          </w:r>
        </w:p>
      </w:tc>
      <w:tc>
        <w:tcPr>
          <w:tcW w:w="1260" w:type="dxa"/>
          <w:tcBorders>
            <w:bottom w:val="single" w:sz="6" w:space="0" w:color="000000"/>
          </w:tcBorders>
        </w:tcPr>
        <w:p>
          <w:pPr>
            <w:pStyle w:val="Header"/>
            <w:tabs>
              <w:tab w:val="clear" w:pos="4320"/>
              <w:tab w:val="clear" w:pos="8640"/>
              <w:tab w:val="center" w:pos="4932" w:leader="none"/>
              <w:tab w:val="left" w:pos="6048" w:leader="none"/>
              <w:tab w:val="right" w:pos="9864" w:leader="none"/>
            </w:tabs>
            <w:snapToGrid w:val="false"/>
            <w:ind w:end="36"/>
            <w:jc w:val="end"/>
            <w:rPr>
              <w:sz w:val="18"/>
            </w:rPr>
          </w:pPr>
          <w:r>
            <w:rPr>
              <w:sz w:val="18"/>
            </w:rPr>
          </w:r>
        </w:p>
      </w:tc>
    </w:tr>
    <w:tr>
      <w:trPr>
        <w:trHeight w:val="220" w:hRule="exact"/>
      </w:trPr>
      <w:tc>
        <w:tcPr>
          <w:tcW w:w="3168" w:type="dxa"/>
          <w:tcBorders/>
        </w:tcPr>
        <w:p>
          <w:pPr>
            <w:pStyle w:val="Header"/>
            <w:tabs>
              <w:tab w:val="clear" w:pos="4320"/>
              <w:tab w:val="clear" w:pos="8640"/>
              <w:tab w:val="center" w:pos="4932" w:leader="none"/>
              <w:tab w:val="left" w:pos="6048" w:leader="none"/>
              <w:tab w:val="right" w:pos="9864" w:leader="none"/>
            </w:tabs>
            <w:ind w:end="36"/>
            <w:jc w:val="center"/>
            <w:rPr>
              <w:sz w:val="16"/>
            </w:rPr>
          </w:pPr>
          <w:r>
            <w:rPr>
              <w:sz w:val="16"/>
            </w:rPr>
            <w:t>San Diego Gas &amp; Electric Company</w:t>
          </w:r>
        </w:p>
      </w:tc>
      <w:tc>
        <w:tcPr>
          <w:tcW w:w="1260"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1440" w:type="dxa"/>
          <w:tcBorders/>
        </w:tcPr>
        <w:p>
          <w:pPr>
            <w:pStyle w:val="Header"/>
            <w:tabs>
              <w:tab w:val="clear" w:pos="4320"/>
              <w:tab w:val="clear" w:pos="8640"/>
              <w:tab w:val="center" w:pos="4932" w:leader="none"/>
              <w:tab w:val="left" w:pos="6048" w:leader="none"/>
              <w:tab w:val="right" w:pos="9864" w:leader="none"/>
            </w:tabs>
            <w:ind w:end="36"/>
            <w:rPr>
              <w:b/>
              <w:sz w:val="22"/>
            </w:rPr>
          </w:pPr>
          <w:r>
            <w:rPr>
              <w:b/>
              <w:sz w:val="22"/>
            </w:rPr>
            <w:t>Draft</w:t>
          </w:r>
        </w:p>
      </w:tc>
      <w:tc>
        <w:tcPr>
          <w:tcW w:w="2880" w:type="dxa"/>
          <w:tcBorders/>
        </w:tcPr>
        <w:p>
          <w:pPr>
            <w:pStyle w:val="Header"/>
            <w:tabs>
              <w:tab w:val="clear" w:pos="4320"/>
              <w:tab w:val="clear" w:pos="8640"/>
              <w:tab w:val="center" w:pos="4932" w:leader="none"/>
              <w:tab w:val="left" w:pos="6048" w:leader="none"/>
              <w:tab w:val="right" w:pos="9864" w:leader="none"/>
            </w:tabs>
            <w:ind w:end="36"/>
            <w:rPr>
              <w:b/>
            </w:rPr>
          </w:pPr>
          <w:r>
            <w:rPr>
              <w:rFonts w:eastAsia="Arial"/>
              <w:b/>
            </w:rPr>
            <w:t xml:space="preserve"> </w:t>
          </w:r>
          <w:r>
            <w:rPr>
              <w:b/>
            </w:rPr>
            <w:t>February 23, 2001</w:t>
          </w:r>
        </w:p>
      </w:tc>
      <w:tc>
        <w:tcPr>
          <w:tcW w:w="1260" w:type="dxa"/>
          <w:tcBorders/>
        </w:tcPr>
        <w:p>
          <w:pPr>
            <w:pStyle w:val="Header"/>
            <w:tabs>
              <w:tab w:val="clear" w:pos="4320"/>
              <w:tab w:val="clear" w:pos="8640"/>
              <w:tab w:val="center" w:pos="4932" w:leader="none"/>
              <w:tab w:val="left" w:pos="6048" w:leader="none"/>
              <w:tab w:val="right" w:pos="9864" w:leader="none"/>
            </w:tabs>
            <w:snapToGrid w:val="false"/>
            <w:ind w:end="36"/>
            <w:jc w:val="end"/>
            <w:rPr>
              <w:b/>
            </w:rPr>
          </w:pPr>
          <w:r>
            <w:rPr>
              <w:b/>
            </w:rPr>
          </w:r>
        </w:p>
      </w:tc>
    </w:tr>
    <w:tr>
      <w:trPr>
        <w:trHeight w:val="220" w:hRule="exact"/>
      </w:trPr>
      <w:tc>
        <w:tcPr>
          <w:tcW w:w="3168" w:type="dxa"/>
          <w:tcBorders/>
        </w:tcPr>
        <w:p>
          <w:pPr>
            <w:pStyle w:val="Header"/>
            <w:tabs>
              <w:tab w:val="clear" w:pos="4320"/>
              <w:tab w:val="clear" w:pos="8640"/>
              <w:tab w:val="center" w:pos="4932" w:leader="none"/>
              <w:tab w:val="left" w:pos="6048" w:leader="none"/>
              <w:tab w:val="right" w:pos="9864" w:leader="none"/>
            </w:tabs>
            <w:ind w:end="36"/>
            <w:jc w:val="center"/>
            <w:rPr>
              <w:sz w:val="16"/>
            </w:rPr>
          </w:pPr>
          <w:r>
            <w:rPr>
              <w:sz w:val="16"/>
            </w:rPr>
            <w:t>San Diego, California</w:t>
          </w:r>
        </w:p>
      </w:tc>
      <w:tc>
        <w:tcPr>
          <w:tcW w:w="1260"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1440" w:type="dxa"/>
          <w:tcBorders/>
        </w:tcPr>
        <w:p>
          <w:pPr>
            <w:pStyle w:val="Header"/>
            <w:tabs>
              <w:tab w:val="clear" w:pos="4320"/>
              <w:tab w:val="clear" w:pos="8640"/>
              <w:tab w:val="center" w:pos="4932" w:leader="none"/>
              <w:tab w:val="left" w:pos="6048" w:leader="none"/>
              <w:tab w:val="right" w:pos="9864" w:leader="none"/>
            </w:tabs>
            <w:snapToGrid w:val="false"/>
            <w:ind w:end="36"/>
            <w:jc w:val="center"/>
            <w:rPr>
              <w:sz w:val="18"/>
            </w:rPr>
          </w:pPr>
          <w:r>
            <w:rPr>
              <w:sz w:val="18"/>
            </w:rPr>
          </w:r>
        </w:p>
      </w:tc>
      <w:tc>
        <w:tcPr>
          <w:tcW w:w="2880" w:type="dxa"/>
          <w:tcBorders/>
        </w:tcPr>
        <w:p>
          <w:pPr>
            <w:pStyle w:val="Header"/>
            <w:tabs>
              <w:tab w:val="clear" w:pos="4320"/>
              <w:tab w:val="clear" w:pos="8640"/>
              <w:tab w:val="left" w:pos="792" w:leader="none"/>
              <w:tab w:val="center" w:pos="4932" w:leader="none"/>
              <w:tab w:val="left" w:pos="6048" w:leader="none"/>
              <w:tab w:val="right" w:pos="9864" w:leader="none"/>
            </w:tabs>
            <w:ind w:end="36"/>
            <w:rPr/>
          </w:pPr>
          <w:r>
            <w:rPr>
              <w:rFonts w:eastAsia="Arial"/>
              <w:sz w:val="18"/>
              <w:u w:val="single"/>
            </w:rPr>
            <w:t xml:space="preserve"> </w:t>
          </w:r>
          <w:r>
            <w:rPr>
              <w:sz w:val="18"/>
            </w:rPr>
            <w:tab/>
          </w:r>
        </w:p>
      </w:tc>
      <w:tc>
        <w:tcPr>
          <w:tcW w:w="1260" w:type="dxa"/>
          <w:tcBorders>
            <w:bottom w:val="single" w:sz="6" w:space="0" w:color="000000"/>
          </w:tcBorders>
        </w:tcPr>
        <w:p>
          <w:pPr>
            <w:pStyle w:val="Header"/>
            <w:tabs>
              <w:tab w:val="clear" w:pos="4320"/>
              <w:tab w:val="clear" w:pos="8640"/>
              <w:tab w:val="center" w:pos="4932" w:leader="none"/>
              <w:tab w:val="left" w:pos="6048" w:leader="none"/>
              <w:tab w:val="right" w:pos="9864" w:leader="none"/>
            </w:tabs>
            <w:snapToGrid w:val="false"/>
            <w:ind w:end="36"/>
            <w:jc w:val="end"/>
            <w:rPr>
              <w:sz w:val="18"/>
            </w:rPr>
          </w:pPr>
          <w:r>
            <w:rPr>
              <w:sz w:val="18"/>
            </w:rPr>
          </w:r>
        </w:p>
      </w:tc>
    </w:tr>
    <w:tr>
      <w:trPr>
        <w:trHeight w:val="240" w:hRule="exact"/>
      </w:trPr>
      <w:tc>
        <w:tcPr>
          <w:tcW w:w="3168" w:type="dxa"/>
          <w:tcBorders/>
        </w:tcPr>
        <w:p>
          <w:pPr>
            <w:pStyle w:val="Header"/>
            <w:tabs>
              <w:tab w:val="clear" w:pos="4320"/>
              <w:tab w:val="clear" w:pos="8640"/>
              <w:tab w:val="center" w:pos="4932" w:leader="none"/>
              <w:tab w:val="left" w:pos="6048" w:leader="none"/>
              <w:tab w:val="right" w:pos="9864" w:leader="none"/>
            </w:tabs>
            <w:snapToGrid w:val="false"/>
            <w:ind w:end="36"/>
            <w:jc w:val="center"/>
            <w:rPr>
              <w:sz w:val="18"/>
              <w:lang w:val="en-CA"/>
            </w:rPr>
          </w:pPr>
          <w:r>
            <w:rPr>
              <w:sz w:val="18"/>
              <w:lang w:val="en-CA"/>
            </w:rPr>
            <mc:AlternateContent>
              <mc:Choice Requires="wps">
                <w:drawing>
                  <wp:anchor behindDoc="1" distT="0" distB="0" distL="114935" distR="114935" simplePos="0" locked="0" layoutInCell="0" allowOverlap="1" relativeHeight="5">
                    <wp:simplePos x="0" y="0"/>
                    <wp:positionH relativeFrom="page">
                      <wp:posOffset>640080</wp:posOffset>
                    </wp:positionH>
                    <wp:positionV relativeFrom="paragraph">
                      <wp:posOffset>91440</wp:posOffset>
                    </wp:positionV>
                    <wp:extent cx="6492875" cy="8078470"/>
                    <wp:effectExtent l="5715" t="5080" r="4445" b="5080"/>
                    <wp:wrapNone/>
                    <wp:docPr id="4" name=""/>
                    <a:graphic xmlns:a="http://schemas.openxmlformats.org/drawingml/2006/main">
                      <a:graphicData uri="http://schemas.microsoft.com/office/word/2010/wordprocessingShape">
                        <wps:wsp>
                          <wps:cNvSpPr/>
                          <wps:spPr>
                            <a:xfrm>
                              <a:off x="0" y="0"/>
                              <a:ext cx="6492960" cy="80784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50.4pt;margin-top:7.2pt;width:511.2pt;height:636.05pt;mso-wrap-style:none;v-text-anchor:middle;mso-position-horizontal-relative:page">
                    <v:fill o:detectmouseclick="t" on="false"/>
                    <v:stroke color="black" weight="9360" joinstyle="miter" endcap="flat"/>
                    <w10:wrap type="none"/>
                  </v:rect>
                </w:pict>
              </mc:Fallback>
            </mc:AlternateContent>
          </w:r>
        </w:p>
      </w:tc>
      <w:tc>
        <w:tcPr>
          <w:tcW w:w="1260"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1440" w:type="dxa"/>
          <w:tcBorders/>
        </w:tcPr>
        <w:p>
          <w:pPr>
            <w:pStyle w:val="Header"/>
            <w:tabs>
              <w:tab w:val="clear" w:pos="4320"/>
              <w:tab w:val="clear" w:pos="8640"/>
              <w:tab w:val="center" w:pos="4932" w:leader="none"/>
              <w:tab w:val="left" w:pos="6048" w:leader="none"/>
              <w:tab w:val="right" w:pos="9864" w:leader="none"/>
            </w:tabs>
            <w:snapToGrid w:val="false"/>
            <w:ind w:end="36"/>
            <w:jc w:val="center"/>
            <w:rPr>
              <w:sz w:val="18"/>
            </w:rPr>
          </w:pPr>
          <w:r>
            <w:rPr>
              <w:sz w:val="18"/>
            </w:rPr>
          </w:r>
        </w:p>
      </w:tc>
      <w:tc>
        <w:tcPr>
          <w:tcW w:w="2880"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1260" w:type="dxa"/>
          <w:tcBorders/>
        </w:tcPr>
        <w:p>
          <w:pPr>
            <w:pStyle w:val="Header"/>
            <w:tabs>
              <w:tab w:val="clear" w:pos="4320"/>
              <w:tab w:val="clear" w:pos="8640"/>
              <w:tab w:val="center" w:pos="4932" w:leader="none"/>
              <w:tab w:val="left" w:pos="6048" w:leader="none"/>
              <w:tab w:val="right" w:pos="9864" w:leader="none"/>
            </w:tabs>
            <w:snapToGrid w:val="false"/>
            <w:ind w:end="36"/>
            <w:jc w:val="center"/>
            <w:rPr>
              <w:sz w:val="18"/>
            </w:rPr>
          </w:pPr>
          <w:r>
            <w:rPr>
              <w:sz w:val="18"/>
            </w:rPr>
          </w:r>
        </w:p>
      </w:tc>
    </w:tr>
    <w:tr>
      <w:trPr>
        <w:trHeight w:val="220" w:hRule="exact"/>
      </w:trPr>
      <w:tc>
        <w:tcPr>
          <w:tcW w:w="3168" w:type="dxa"/>
          <w:tcBorders/>
        </w:tcPr>
        <w:p>
          <w:pPr>
            <w:pStyle w:val="Header"/>
            <w:tabs>
              <w:tab w:val="clear" w:pos="4320"/>
              <w:tab w:val="clear" w:pos="8640"/>
              <w:tab w:val="center" w:pos="4932" w:leader="none"/>
              <w:tab w:val="left" w:pos="6048" w:leader="none"/>
              <w:tab w:val="right" w:pos="9864" w:leader="none"/>
            </w:tabs>
            <w:snapToGrid w:val="false"/>
            <w:ind w:end="36"/>
            <w:jc w:val="center"/>
            <w:rPr>
              <w:sz w:val="18"/>
            </w:rPr>
          </w:pPr>
          <w:r>
            <w:rPr>
              <w:sz w:val="18"/>
            </w:rPr>
          </w:r>
        </w:p>
      </w:tc>
      <w:tc>
        <w:tcPr>
          <w:tcW w:w="1260" w:type="dxa"/>
          <w:tcBorders/>
        </w:tcPr>
        <w:p>
          <w:pPr>
            <w:pStyle w:val="Header"/>
            <w:tabs>
              <w:tab w:val="clear" w:pos="4320"/>
              <w:tab w:val="clear" w:pos="8640"/>
              <w:tab w:val="center" w:pos="4932" w:leader="none"/>
              <w:tab w:val="left" w:pos="6048" w:leader="none"/>
              <w:tab w:val="right" w:pos="9864" w:leader="none"/>
            </w:tabs>
            <w:snapToGrid w:val="false"/>
            <w:ind w:end="36"/>
            <w:rPr>
              <w:sz w:val="18"/>
            </w:rPr>
          </w:pPr>
          <w:r>
            <w:rPr>
              <w:sz w:val="18"/>
            </w:rPr>
          </w:r>
        </w:p>
      </w:tc>
      <w:tc>
        <w:tcPr>
          <w:tcW w:w="1440" w:type="dxa"/>
          <w:tcBorders/>
        </w:tcPr>
        <w:p>
          <w:pPr>
            <w:pStyle w:val="Header"/>
            <w:tabs>
              <w:tab w:val="clear" w:pos="4320"/>
              <w:tab w:val="clear" w:pos="8640"/>
              <w:tab w:val="center" w:pos="4932" w:leader="none"/>
              <w:tab w:val="left" w:pos="6048" w:leader="none"/>
              <w:tab w:val="right" w:pos="9864" w:leader="none"/>
            </w:tabs>
            <w:snapToGrid w:val="false"/>
            <w:ind w:end="36"/>
            <w:jc w:val="center"/>
            <w:rPr>
              <w:sz w:val="18"/>
            </w:rPr>
          </w:pPr>
          <w:r>
            <w:rPr>
              <w:sz w:val="18"/>
            </w:rPr>
          </w:r>
        </w:p>
      </w:tc>
      <w:tc>
        <w:tcPr>
          <w:tcW w:w="4140" w:type="dxa"/>
          <w:gridSpan w:val="2"/>
          <w:tcBorders/>
        </w:tcPr>
        <w:p>
          <w:pPr>
            <w:pStyle w:val="Header"/>
            <w:tabs>
              <w:tab w:val="clear" w:pos="4320"/>
              <w:tab w:val="clear" w:pos="8640"/>
              <w:tab w:val="left" w:pos="3924" w:leader="none"/>
              <w:tab w:val="center" w:pos="4932" w:leader="none"/>
              <w:tab w:val="left" w:pos="6048" w:leader="none"/>
              <w:tab w:val="right" w:pos="9864" w:leader="none"/>
            </w:tabs>
            <w:ind w:end="72"/>
            <w:jc w:val="end"/>
            <w:rPr>
              <w:sz w:val="18"/>
            </w:rPr>
          </w:pPr>
          <w:r>
            <w:rPr>
              <w:sz w:val="18"/>
            </w:rPr>
            <w:t>Sheet 15</w:t>
          </w:r>
        </w:p>
      </w:tc>
    </w:tr>
  </w:tbl>
  <w:p>
    <w:pPr>
      <w:pStyle w:val="Header"/>
      <w:tabs>
        <w:tab w:val="clear" w:pos="4320"/>
        <w:tab w:val="clear" w:pos="8640"/>
        <w:tab w:val="center" w:pos="4968" w:leader="none"/>
        <w:tab w:val="left" w:pos="6048" w:leader="none"/>
        <w:tab w:val="right" w:pos="9864" w:leader="none"/>
      </w:tabs>
      <w:spacing w:before="0" w:after="60"/>
      <w:ind w:end="43"/>
      <w:jc w:val="center"/>
      <w:rPr>
        <w:b/>
        <w:sz w:val="24"/>
      </w:rPr>
    </w:pPr>
    <w:r>
      <w:rPr>
        <w:b/>
        <w:sz w:val="24"/>
      </w:rPr>
      <w:t>PRELIMINARY STATEMENT</w:t>
    </w:r>
  </w:p>
  <w:p>
    <w:pPr>
      <w:pStyle w:val="Header"/>
      <w:tabs>
        <w:tab w:val="clear" w:pos="4320"/>
        <w:tab w:val="clear" w:pos="8640"/>
        <w:tab w:val="center" w:pos="4968" w:leader="none"/>
        <w:tab w:val="left" w:pos="6048" w:leader="none"/>
        <w:tab w:val="right" w:pos="9864" w:leader="none"/>
      </w:tabs>
      <w:spacing w:before="0" w:after="60"/>
      <w:ind w:end="43"/>
      <w:jc w:val="center"/>
      <w:rPr>
        <w:b/>
        <w:sz w:val="24"/>
        <w:u w:val="single"/>
      </w:rPr>
    </w:pPr>
    <w:r>
      <w:rPr>
        <w:b/>
        <w:sz w:val="24"/>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20"/>
        </w:tabs>
        <w:ind w:start="720" w:hanging="720"/>
      </w:pPr>
      <w:rPr>
        <w:u w:val="none"/>
      </w:rPr>
    </w:lvl>
  </w:abstractNum>
  <w:abstractNum w:abstractNumId="2">
    <w:lvl w:ilvl="0">
      <w:start w:val="2"/>
      <w:numFmt w:val="decimal"/>
      <w:lvlText w:val="%1."/>
      <w:lvlJc w:val="start"/>
      <w:pPr>
        <w:tabs>
          <w:tab w:val="num" w:pos="1440"/>
        </w:tabs>
        <w:ind w:start="1440" w:hanging="720"/>
      </w:pPr>
      <w:rPr/>
    </w:lvl>
  </w:abstractNum>
  <w:abstractNum w:abstractNumId="3">
    <w:lvl w:ilvl="0">
      <w:start w:val="1"/>
      <w:numFmt w:val="lowerLetter"/>
      <w:lvlText w:val="%1."/>
      <w:lvlJc w:val="start"/>
      <w:pPr>
        <w:tabs>
          <w:tab w:val="num" w:pos="2520"/>
        </w:tabs>
        <w:ind w:start="2520" w:hanging="360"/>
      </w:pPr>
      <w:rPr/>
    </w:lvl>
  </w:abstractNum>
  <w:abstractNum w:abstractNumId="4">
    <w:lvl w:ilvl="0">
      <w:start w:val="4"/>
      <w:numFmt w:val="upperLetter"/>
      <w:lvlText w:val="%1."/>
      <w:lvlJc w:val="start"/>
      <w:pPr>
        <w:tabs>
          <w:tab w:val="num" w:pos="360"/>
        </w:tabs>
        <w:ind w:start="360" w:hanging="360"/>
      </w:pPr>
      <w:rPr>
        <w:u w:val="none"/>
      </w:rPr>
    </w:lvl>
  </w:abstractNum>
  <w:abstractNum w:abstractNumId="5">
    <w:lvl w:ilvl="0">
      <w:start w:val="4"/>
      <w:numFmt w:val="upperLetter"/>
      <w:lvlText w:val="%1."/>
      <w:lvlJc w:val="start"/>
      <w:pPr>
        <w:tabs>
          <w:tab w:val="num" w:pos="360"/>
        </w:tabs>
        <w:ind w:start="360" w:hanging="360"/>
      </w:pPr>
      <w:rPr>
        <w:u w:val="none"/>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u w:val="non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u w:val="none"/>
    </w:rPr>
  </w:style>
  <w:style w:type="character" w:styleId="WW8Num18z0">
    <w:name w:val="WW8Num18z0"/>
    <w:qFormat/>
    <w:rPr/>
  </w:style>
  <w:style w:type="character" w:styleId="WW8Num19z0">
    <w:name w:val="WW8Num19z0"/>
    <w:qFormat/>
    <w:rPr>
      <w:u w:val="none"/>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u w:val="none"/>
    </w:rPr>
  </w:style>
  <w:style w:type="character" w:styleId="WW8Num25z0">
    <w:name w:val="WW8Num25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s>
      <w:spacing w:lineRule="exact" w:line="200"/>
      <w:jc w:val="both"/>
    </w:pPr>
    <w:rPr>
      <w:rFonts w:ascii="Courier" w:hAnsi="Courier" w:cs="Courier"/>
      <w:vertAlign w:val="superscript"/>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Arial" w:hAnsi="Arial" w:cs="Arial"/>
      <w:vertAlign w:val="superscript"/>
    </w:rPr>
  </w:style>
  <w:style w:type="paragraph" w:styleId="Footer">
    <w:name w:val="footer"/>
    <w:basedOn w:val="Normal"/>
    <w:pPr>
      <w:tabs>
        <w:tab w:val="clear" w:pos="720"/>
        <w:tab w:val="center" w:pos="4320" w:leader="none"/>
        <w:tab w:val="right" w:pos="8640" w:leader="none"/>
      </w:tabs>
    </w:pPr>
    <w:rPr>
      <w:vertAlign w:val="superscript"/>
    </w:rPr>
  </w:style>
  <w:style w:type="paragraph" w:styleId="BodyTextIndent">
    <w:name w:val="Body Text Indent"/>
    <w:basedOn w:val="Normal"/>
    <w:pPr>
      <w:tabs>
        <w:tab w:val="left" w:pos="180" w:leader="none"/>
        <w:tab w:val="left" w:pos="720" w:leader="none"/>
        <w:tab w:val="left" w:pos="2160" w:leader="none"/>
        <w:tab w:val="left" w:pos="2880" w:leader="none"/>
        <w:tab w:val="left" w:pos="3600" w:leader="none"/>
      </w:tabs>
      <w:spacing w:lineRule="exact" w:line="220"/>
      <w:ind w:hanging="90" w:start="90" w:end="0"/>
      <w:jc w:val="both"/>
    </w:pPr>
    <w:rPr>
      <w:sz w:val="18"/>
      <w:lang w:eastAsia="en-US"/>
    </w:rPr>
  </w:style>
  <w:style w:type="paragraph" w:styleId="BodyTextIndent3">
    <w:name w:val="Body Text Indent 3"/>
    <w:basedOn w:val="Normal"/>
    <w:qFormat/>
    <w:pPr>
      <w:tabs>
        <w:tab w:val="left" w:pos="720" w:leader="none"/>
        <w:tab w:val="left" w:pos="1440" w:leader="none"/>
        <w:tab w:val="left" w:pos="2160" w:leader="none"/>
        <w:tab w:val="left" w:pos="2880" w:leader="none"/>
        <w:tab w:val="left" w:pos="3600" w:leader="none"/>
      </w:tabs>
      <w:spacing w:lineRule="exact" w:line="220"/>
      <w:ind w:hanging="720" w:start="720" w:end="0"/>
      <w:jc w:val="both"/>
    </w:pPr>
    <w:rPr>
      <w:lang w:eastAsia="en-US"/>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s>
      <w:spacing w:lineRule="exact" w:line="220"/>
      <w:ind w:hanging="720" w:start="720" w:end="0"/>
      <w:jc w:val="both"/>
    </w:pPr>
    <w:rPr>
      <w:sz w:val="18"/>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tarfedit</Template>
  <TotalTime>833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2001-02-14T21:07:00Z</dcterms:created>
  <dc:creator>Tariffs System Formatter</dc:creator>
  <dc:description/>
  <dc:language>en-CA</dc:language>
  <cp:lastModifiedBy>SEMPRA ENERGY</cp:lastModifiedBy>
  <cp:lastPrinted>2001-02-23T14:32:00Z</cp:lastPrinted>
  <dcterms:modified xsi:type="dcterms:W3CDTF">2001-02-23T20:03:00Z</dcterms:modified>
  <cp:revision>102</cp:revision>
  <dc:subject/>
  <dc:title>A</dc:title>
</cp:coreProperties>
</file>