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UNITED STATES OF AMERICA</w:t>
      </w:r>
    </w:p>
    <w:p>
      <w:pPr>
        <w:pStyle w:val="Normal"/>
        <w:jc w:val="center"/>
        <w:rPr>
          <w:sz w:val="24"/>
        </w:rPr>
      </w:pPr>
      <w:r>
        <w:rPr>
          <w:sz w:val="24"/>
        </w:rPr>
        <w:t>BEFORE THE</w:t>
      </w:r>
    </w:p>
    <w:p>
      <w:pPr>
        <w:pStyle w:val="Normal"/>
        <w:jc w:val="center"/>
        <w:rPr>
          <w:sz w:val="24"/>
        </w:rPr>
      </w:pPr>
      <w:r>
        <w:rPr>
          <w:sz w:val="24"/>
        </w:rPr>
        <w:t>FEDERAL ENERGY REGULATORY COMMISSION</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Transwestern Pipeline Company</w:t>
        <w:tab/>
        <w:tab/>
        <w:t>)</w:t>
        <w:tab/>
        <w:t xml:space="preserve">Docket No. CP99-522-000 </w:t>
      </w:r>
    </w:p>
    <w:p>
      <w:pPr>
        <w:pStyle w:val="Normal"/>
        <w:jc w:val="both"/>
        <w:rPr>
          <w:sz w:val="24"/>
        </w:rPr>
      </w:pPr>
      <w:r>
        <w:rPr>
          <w:sz w:val="24"/>
        </w:rPr>
      </w:r>
    </w:p>
    <w:p>
      <w:pPr>
        <w:pStyle w:val="Normal"/>
        <w:tabs>
          <w:tab w:val="clear" w:pos="720"/>
          <w:tab w:val="center" w:pos="4680" w:leader="none"/>
        </w:tabs>
        <w:suppressAutoHyphens w:val="true"/>
        <w:jc w:val="center"/>
        <w:rPr>
          <w:spacing w:val="-3"/>
          <w:sz w:val="24"/>
        </w:rPr>
      </w:pPr>
      <w:r>
        <w:rPr>
          <w:spacing w:val="-3"/>
          <w:sz w:val="24"/>
        </w:rPr>
      </w:r>
    </w:p>
    <w:p>
      <w:pPr>
        <w:pStyle w:val="Normal"/>
        <w:tabs>
          <w:tab w:val="clear" w:pos="720"/>
          <w:tab w:val="center" w:pos="4680" w:leader="none"/>
        </w:tabs>
        <w:suppressAutoHyphens w:val="true"/>
        <w:jc w:val="center"/>
        <w:rPr>
          <w:b/>
          <w:spacing w:val="-3"/>
          <w:sz w:val="24"/>
        </w:rPr>
      </w:pPr>
      <w:r>
        <w:rPr>
          <w:b/>
          <w:spacing w:val="-3"/>
          <w:sz w:val="24"/>
        </w:rPr>
        <w:t xml:space="preserve">REQUEST FOR REHEARING </w:t>
      </w:r>
    </w:p>
    <w:p>
      <w:pPr>
        <w:pStyle w:val="Normal"/>
        <w:tabs>
          <w:tab w:val="clear" w:pos="720"/>
          <w:tab w:val="center" w:pos="4680" w:leader="none"/>
        </w:tabs>
        <w:suppressAutoHyphens w:val="true"/>
        <w:jc w:val="center"/>
        <w:rPr>
          <w:b/>
          <w:spacing w:val="-3"/>
          <w:sz w:val="24"/>
        </w:rPr>
      </w:pPr>
      <w:r>
        <w:rPr>
          <w:b/>
          <w:spacing w:val="-3"/>
          <w:sz w:val="24"/>
        </w:rPr>
      </w:r>
    </w:p>
    <w:p>
      <w:pPr>
        <w:pStyle w:val="BodyText"/>
        <w:spacing w:lineRule="auto" w:line="480"/>
        <w:jc w:val="both"/>
        <w:rPr/>
      </w:pPr>
      <w:r>
        <w:rPr>
          <w:spacing w:val="-3"/>
        </w:rPr>
        <w:tab/>
        <w:t xml:space="preserve">Transwestern Pipeline Company (Transwestern), pursuant to Section 19 of the Natural Gas Act (NGA), 15 U.S.C. § 717r, and Rule 713 of the Federal Energy Regulatory Commission's (Commission) Rules of Practice and Procedure, 18 C.F.R. § 385.713, hereby respectfully requests rehearing of the Commission's </w:t>
      </w:r>
      <w:r>
        <w:rPr/>
        <w:t>January 13, 2000 Order Issuing Certificate (January 13 Order).  In support thereof, Transwestern states as follows:</w:t>
      </w:r>
    </w:p>
    <w:p>
      <w:pPr>
        <w:pStyle w:val="Normal"/>
        <w:jc w:val="center"/>
        <w:rPr>
          <w:b/>
          <w:sz w:val="24"/>
        </w:rPr>
      </w:pPr>
      <w:r>
        <w:rPr>
          <w:b/>
          <w:sz w:val="24"/>
        </w:rPr>
        <w:t>I.</w:t>
      </w:r>
    </w:p>
    <w:p>
      <w:pPr>
        <w:pStyle w:val="Heading1"/>
        <w:ind w:hanging="0" w:start="0"/>
        <w:rPr/>
      </w:pPr>
      <w:r>
        <w:rPr/>
        <w:t>BACKGROUND</w:t>
      </w:r>
    </w:p>
    <w:p>
      <w:pPr>
        <w:pStyle w:val="BodyText2"/>
        <w:spacing w:lineRule="auto" w:line="480"/>
        <w:rPr/>
      </w:pPr>
      <w:r>
        <w:rPr/>
        <w:tab/>
        <w:t>On May 13, 1999, Transwestern filed an application under Section 7(c) of the NGA seeking authority to construct certain facilities comprising its Gallup Expansion Project (the Gallup Expansion).  In the January 13 Order, the Commission issued a certificate of public convenience and necessity authorizing Transwestern to construct and operate the proposed facilities. The order contains a condition requiring that Transwestern publicly disclose the discounted rates for its Gallup Expansion within 15 days of the date of the order. Although Transwestern originally filed the discounted rates pursuant to the Commission's procedures for confidential treatment, the Commission stated that the rates should now be made publicly available, which would allow use of such commercially sensitive rate information for competitive purposes outside of this proceeding.  The Commission’s stated reason for requiring public disclosure of those rates was "[s]ince the expansion capacity is fully subscribed, we see no reason why Transwestern should not publicly disclose this information."  January 13 Order at p. 16.  On January 19, 2000, Transwestern filed a motion for extension of time to comply with the condition.</w:t>
      </w:r>
    </w:p>
    <w:p>
      <w:pPr>
        <w:pStyle w:val="BodyText2"/>
        <w:spacing w:lineRule="auto" w:line="360"/>
        <w:rPr/>
      </w:pPr>
      <w:r>
        <w:rPr/>
      </w:r>
    </w:p>
    <w:p>
      <w:pPr>
        <w:pStyle w:val="Normal"/>
        <w:jc w:val="center"/>
        <w:rPr>
          <w:b/>
          <w:sz w:val="24"/>
        </w:rPr>
      </w:pPr>
      <w:r>
        <w:rPr>
          <w:b/>
          <w:sz w:val="24"/>
        </w:rPr>
        <w:t>II.</w:t>
      </w:r>
    </w:p>
    <w:p>
      <w:pPr>
        <w:pStyle w:val="Heading1"/>
        <w:ind w:hanging="0" w:start="0"/>
        <w:rPr/>
      </w:pPr>
      <w:r>
        <w:rPr/>
        <w:t>SPECIFICATION OF ERROR</w:t>
      </w:r>
    </w:p>
    <w:p>
      <w:pPr>
        <w:pStyle w:val="Normal"/>
        <w:spacing w:lineRule="auto" w:line="480"/>
        <w:jc w:val="both"/>
        <w:rPr/>
      </w:pPr>
      <w:r>
        <w:rPr/>
        <w:tab/>
      </w:r>
      <w:r>
        <w:rPr>
          <w:sz w:val="24"/>
        </w:rPr>
        <w:t>The Commission erred in requiring that Transwestern’s discounted rates for the Gallup Expansion be made publicly available outside of this proceeding within 15 days of the date of the order.  Immediate disclosure of the discounted rate information outside of this proceeding would serve no purpose in this proceeding, would disregard the commercially sensitive nature of the discounted rates and the competitive situation on Transwestern’s system, and would cause competitive harm to Transwestern and the Gallup Expansion shippers.</w:t>
      </w:r>
    </w:p>
    <w:p>
      <w:pPr>
        <w:pStyle w:val="BodyText2"/>
        <w:jc w:val="center"/>
        <w:rPr>
          <w:b/>
        </w:rPr>
      </w:pPr>
      <w:r>
        <w:rPr>
          <w:b/>
        </w:rPr>
        <w:t>III.</w:t>
      </w:r>
    </w:p>
    <w:p>
      <w:pPr>
        <w:pStyle w:val="BodyText2"/>
        <w:suppressAutoHyphens w:val="true"/>
        <w:spacing w:lineRule="auto" w:line="480"/>
        <w:jc w:val="center"/>
        <w:rPr>
          <w:b/>
        </w:rPr>
      </w:pPr>
      <w:r>
        <w:rPr>
          <w:b/>
        </w:rPr>
        <w:t>ARGUMENT</w:t>
      </w:r>
    </w:p>
    <w:p>
      <w:pPr>
        <w:pStyle w:val="BodyText2"/>
        <w:spacing w:lineRule="auto" w:line="480"/>
        <w:rPr/>
      </w:pPr>
      <w:r>
        <w:rPr/>
        <w:tab/>
        <w:t>When the discounted rates were filed in this proceeding, Transwestern requested confidential treatment of the information pursuant to the Commission’s procedures for confidential treatment.  Transwestern will publicly disclose the discounted rates outside of this proceeding in the discount report filed at the time required by Section 284.7(b)(6) of the Commission’s regulations.  Requiring Transwestern to publicly file its discounted rates for the Gallup Expansion before the time the discount report is due is not necessary for purposes of this proceeding and would cause undue competitive harm to Transwestern and the Gallup shippers by allowing use of such rates for competitive purposes outside of this proceeding.</w:t>
      </w:r>
    </w:p>
    <w:p>
      <w:pPr>
        <w:pStyle w:val="BodyText2"/>
        <w:ind w:hanging="720" w:start="1440" w:end="0"/>
        <w:rPr/>
      </w:pPr>
      <w:r>
        <w:rPr/>
        <w:t>A.</w:t>
        <w:tab/>
      </w:r>
      <w:r>
        <w:rPr>
          <w:u w:val="single"/>
        </w:rPr>
        <w:t>Release of the discounted rates outside of this proceeding at this time serves no purpose in this proceeding.</w:t>
      </w:r>
    </w:p>
    <w:p>
      <w:pPr>
        <w:pStyle w:val="BodyText2"/>
        <w:ind w:hanging="720" w:start="1440" w:end="0"/>
        <w:rPr/>
      </w:pPr>
      <w:r>
        <w:rPr/>
      </w:r>
    </w:p>
    <w:p>
      <w:pPr>
        <w:pStyle w:val="BodyText2"/>
        <w:spacing w:lineRule="auto" w:line="480"/>
        <w:ind w:firstLine="720" w:end="0"/>
        <w:rPr/>
      </w:pPr>
      <w:r>
        <w:rPr/>
        <w:t>The rates for Transwestern's Gallup Expansion were provided pursuant to the Commission's regulations, and such information was available in order for the Commission to make the determinations necessary for the issuance of a certificate in this proceeding.  Section 388.112 of the Commission’s regulations provides for confidential treatment of certain information submitted to the Commission, including "trade secrets and commercial or financial information obtained from a person and privileged or confidential."  18 C.F.R. § 388.107(d).  Transwestern submitted its discounted rate information to the Commission pursuant to that provision.</w:t>
      </w:r>
    </w:p>
    <w:p>
      <w:pPr>
        <w:pStyle w:val="BodyText2"/>
        <w:spacing w:lineRule="auto" w:line="480"/>
        <w:rPr/>
      </w:pPr>
      <w:r>
        <w:rPr/>
        <w:tab/>
        <w:t>The need for the discounted rates for purposes of this proceeding has already been fulfilled by the filing of the rates by Transwestern under the Commission's procedures for confidential treatment, and there is no need to subject Transwestern and the Gallup Expansion shippers to potential competitive harm by requiring, at this time, the public disclosure of discounted rates for use for purposes outside of this proceeding.  Any public interest to be served by public disclosure outside of this proceeding is adequately addressed by disclosure pursuant to the discount reports required under Section 284.7(b)(6).</w:t>
      </w:r>
    </w:p>
    <w:p>
      <w:pPr>
        <w:pStyle w:val="BodyText2"/>
        <w:ind w:hanging="720" w:start="1440" w:end="0"/>
        <w:rPr/>
      </w:pPr>
      <w:r>
        <w:rPr/>
        <w:t>B.</w:t>
        <w:tab/>
      </w:r>
      <w:r>
        <w:rPr>
          <w:u w:val="single"/>
        </w:rPr>
        <w:t>Release of the discounted rates outside of this proceeding at this time would have an adverse competitive impact on Transwestern and its shippers.</w:t>
      </w:r>
    </w:p>
    <w:p>
      <w:pPr>
        <w:pStyle w:val="BodyText2"/>
        <w:ind w:firstLine="720" w:end="0"/>
        <w:rPr>
          <w:u w:val="single"/>
        </w:rPr>
      </w:pPr>
      <w:r>
        <w:rPr>
          <w:u w:val="single"/>
        </w:rPr>
      </w:r>
    </w:p>
    <w:p>
      <w:pPr>
        <w:pStyle w:val="BodyText2"/>
        <w:spacing w:lineRule="auto" w:line="480"/>
        <w:rPr/>
      </w:pPr>
      <w:r>
        <w:rPr/>
        <w:tab/>
        <w:t>Confidential treatment of commercially sensitive information is appropriate in circumstances where competitive injury could result from disclosure. Transwestern recognizes that its Gallup discounted rates will be publicly disclosed outside of this proceeding in a discount report approximately 45 days after the in-service date of the project.  Thus, the issue posed by the Commission’s January 13 Order is why disclosure should be compelled now in advance of the otherwise applicable discount report disclosure requirement.</w:t>
      </w:r>
    </w:p>
    <w:p>
      <w:pPr>
        <w:pStyle w:val="Normal"/>
        <w:spacing w:lineRule="auto" w:line="480"/>
        <w:ind w:firstLine="720" w:end="0"/>
        <w:jc w:val="both"/>
        <w:rPr/>
      </w:pPr>
      <w:r>
        <w:rPr>
          <w:color w:val="000000"/>
          <w:sz w:val="24"/>
          <w:lang w:eastAsia="en-US"/>
        </w:rPr>
        <w:t>There are compelling reasons to not disclose the discounted rate information outside of this proceeding at this time.  Requiring Transwestern to publicly disclose its rates before the usual time for making a discount report would provide certain parties with far greater access to competitive pricing information than they would ordinarily have.  Use of such competitive discounted rate information would not be limited to this proceeding but would extend to any transaction in the competitive marketplace.  Shippers often enter into futures contracts, basis swaps and other derivative transactions to manage price risk between the time they sign a gas transportation agreement and the effective date of that agreement.  In the case of new construction projects like the Gallup Expansion, financial transactions are often entered into after the pipeline has received a certificate from the Commission.  Making the price of transportation publicly available prior to the first day of gas flow would give the counterparties to those financial transactions an advantage over the Gallup Expansion shippers in negotiating price.  Moreover, creating such an advantage for financial counterparties would serve to artificially compress the spread value (</w:t>
      </w:r>
      <w:r>
        <w:rPr>
          <w:color w:val="000000"/>
          <w:sz w:val="24"/>
          <w:u w:val="single"/>
          <w:lang w:eastAsia="en-US"/>
        </w:rPr>
        <w:t>i.e.</w:t>
      </w:r>
      <w:r>
        <w:rPr>
          <w:color w:val="000000"/>
          <w:sz w:val="24"/>
          <w:lang w:eastAsia="en-US"/>
        </w:rPr>
        <w:t>, the difference between the basis adjusted price of natural gas between two points, typically, supply area to market area).  Compression of the spread value inherently decreases the value of transportation capacity, which not only financially disadvantages Transwestern, but other pipeline companies serving the same marketplace.  This is an unfair result given that, like Transwestern, other pipelines and shippers do not ordinarily allow access to such pricing information prior to gas flow.</w:t>
      </w:r>
    </w:p>
    <w:p>
      <w:pPr>
        <w:pStyle w:val="BodyText2"/>
        <w:spacing w:lineRule="auto" w:line="480"/>
        <w:ind w:firstLine="720" w:end="0"/>
        <w:rPr/>
      </w:pPr>
      <w:r>
        <w:rPr/>
        <w:t>In addition, Transwestern is continuously engaged in an effort to sell all of the available pipeline capacity on its system.  Any discounts negotiated on the system impact the market’s perception of the value of all of Transwestern’s available capacity, not just the Gallup Expansion capacity.  As of the date of this filing, Transwestern has firm capacity available for sale.  Disclosure of its Gallup Expansion discounts outside of this proceeding any earlier than necessary would prejudice Transwestern’s efforts to market such available firm capacity.  Transwestern would be at a competitive disadvantage in marketing such capacity because competing pipelines selling capacity would not have to disclose their discounted rates until the filing of their discount reports.</w:t>
      </w:r>
    </w:p>
    <w:p>
      <w:pPr>
        <w:pStyle w:val="Normal"/>
        <w:ind w:hanging="720" w:start="1440" w:end="0"/>
        <w:jc w:val="both"/>
        <w:rPr>
          <w:color w:val="000000"/>
          <w:sz w:val="24"/>
          <w:lang w:eastAsia="en-US"/>
        </w:rPr>
      </w:pPr>
      <w:r>
        <w:rPr>
          <w:color w:val="000000"/>
          <w:sz w:val="24"/>
          <w:lang w:eastAsia="en-US"/>
        </w:rPr>
        <w:t>C.</w:t>
        <w:tab/>
      </w:r>
      <w:r>
        <w:rPr>
          <w:color w:val="000000"/>
          <w:sz w:val="24"/>
          <w:u w:val="single"/>
          <w:lang w:eastAsia="en-US"/>
        </w:rPr>
        <w:t>Full subscription of the Gallup Expansion capacity does not alleviate the adverse competitive impact from now disclosing competitive information outside of this proceeding.</w:t>
      </w:r>
    </w:p>
    <w:p>
      <w:pPr>
        <w:pStyle w:val="Normal"/>
        <w:ind w:firstLine="720" w:end="0"/>
        <w:jc w:val="both"/>
        <w:rPr>
          <w:color w:val="000000"/>
          <w:sz w:val="24"/>
          <w:lang w:eastAsia="en-US"/>
        </w:rPr>
      </w:pPr>
      <w:r>
        <w:rPr>
          <w:color w:val="000000"/>
          <w:sz w:val="24"/>
          <w:lang w:eastAsia="en-US"/>
        </w:rPr>
      </w:r>
    </w:p>
    <w:p>
      <w:pPr>
        <w:pStyle w:val="BodyText2"/>
        <w:spacing w:lineRule="auto" w:line="480"/>
        <w:ind w:firstLine="720" w:end="0"/>
        <w:rPr/>
      </w:pPr>
      <w:r>
        <w:rPr/>
        <w:t xml:space="preserve">The only reason stated in support of the Commission’s order -- the fact that the Gallup Expansion capacity is now fully subscribed -- is irrelevant to a determination under the Commission's governing standards for confidential treatment of whether Transwestern must now publicly disclose its discounted rates outside of this proceeding.  </w:t>
      </w:r>
      <w:r>
        <w:rPr>
          <w:color w:val="000000"/>
          <w:lang w:eastAsia="en-US"/>
        </w:rPr>
        <w:t>A determination of whether information required by the Commission may be protected involves a balancing of the perceived need for the information against the potential harm that would result from public disclosure.</w:t>
      </w:r>
      <w:r>
        <w:rPr>
          <w:rStyle w:val="FootnoteCharacters"/>
          <w:rStyle w:val="FootnoteReference"/>
          <w:color w:val="000000"/>
          <w:lang w:eastAsia="en-US"/>
        </w:rPr>
        <w:footnoteReference w:id="2"/>
      </w:r>
      <w:r>
        <w:rPr>
          <w:color w:val="000000"/>
        </w:rPr>
        <w:t xml:space="preserve">  As explained above, disclosure of the discounted rates outside of this proceeding would adversely affect the commercial value of the commodity and financial positions taken by the Gallup Expansion shippers as well as the commercial value of Transwestern’s available capacity.  The Commission has provided no reason why full subscription of an expansion project alleviates these adverse competitive impacts.  Accordingly, Transwestern urges the Commission to grant limited rehearing of its January 13 Order and permit continued confidential treatment of Gallup Expansion discounted rates until they are disclosed pursuant to Transwestern’s discount reports.</w:t>
      </w:r>
    </w:p>
    <w:p>
      <w:pPr>
        <w:pStyle w:val="Heading1"/>
        <w:spacing w:lineRule="auto" w:line="240"/>
        <w:ind w:hanging="0" w:start="0"/>
        <w:rPr>
          <w:spacing w:val="0"/>
        </w:rPr>
      </w:pPr>
      <w:r>
        <w:rPr>
          <w:spacing w:val="0"/>
        </w:rPr>
        <w:t>IV</w:t>
      </w:r>
    </w:p>
    <w:p>
      <w:pPr>
        <w:pStyle w:val="Normal"/>
        <w:tabs>
          <w:tab w:val="clear" w:pos="720"/>
          <w:tab w:val="left" w:pos="-720" w:leader="none"/>
        </w:tabs>
        <w:suppressAutoHyphens w:val="true"/>
        <w:spacing w:lineRule="auto" w:line="480"/>
        <w:jc w:val="center"/>
        <w:rPr>
          <w:spacing w:val="-3"/>
          <w:sz w:val="24"/>
        </w:rPr>
      </w:pPr>
      <w:r>
        <w:rPr>
          <w:b/>
          <w:spacing w:val="-3"/>
          <w:sz w:val="24"/>
        </w:rPr>
        <w:t>CONCLUSION</w:t>
      </w:r>
    </w:p>
    <w:p>
      <w:pPr>
        <w:pStyle w:val="BodyText2"/>
        <w:tabs>
          <w:tab w:val="clear" w:pos="720"/>
          <w:tab w:val="left" w:pos="-720" w:leader="none"/>
        </w:tabs>
        <w:suppressAutoHyphens w:val="true"/>
        <w:spacing w:lineRule="auto" w:line="480"/>
        <w:rPr>
          <w:spacing w:val="-3"/>
        </w:rPr>
      </w:pPr>
      <w:r>
        <w:rPr>
          <w:spacing w:val="-3"/>
        </w:rPr>
        <w:tab/>
        <w:t>The potential harm to Transwestern and the Gallup Expansion shippers from use of discounted rates for purposes outside of this proceeding far outweighs any alleged need for public disclosure at this time.  The Commission has not adequately justified its requirement that Transwestern make its discounted rates for the Gallup Expansion publicly available outside of this proceeding, and Transwestern therefore requests that the Commission grant rehearing of its January 13 Order and provide that Transwestern is not required to publicly disclose its Gallup Expansion rates until the time for filing discount reports pursuant to Section 284.7(b)(6) of the Commission's regulations.</w:t>
      </w:r>
    </w:p>
    <w:p>
      <w:pPr>
        <w:pStyle w:val="Normal"/>
        <w:tabs>
          <w:tab w:val="clear" w:pos="720"/>
          <w:tab w:val="left" w:pos="-720" w:leader="none"/>
        </w:tabs>
        <w:suppressAutoHyphens w:val="true"/>
        <w:jc w:val="both"/>
        <w:rPr>
          <w:spacing w:val="-3"/>
          <w:sz w:val="24"/>
        </w:rPr>
      </w:pPr>
      <w:r>
        <w:rPr>
          <w:spacing w:val="-3"/>
          <w:sz w:val="24"/>
        </w:rPr>
        <w:tab/>
        <w:tab/>
        <w:tab/>
        <w:tab/>
        <w:tab/>
        <w:tab/>
        <w:t>Respectfully submitted,</w:t>
      </w:r>
    </w:p>
    <w:p>
      <w:pPr>
        <w:pStyle w:val="Normal"/>
        <w:tabs>
          <w:tab w:val="clear" w:pos="720"/>
          <w:tab w:val="left" w:pos="-720" w:leader="none"/>
        </w:tabs>
        <w:suppressAutoHyphens w:val="true"/>
        <w:jc w:val="both"/>
        <w:rPr>
          <w:spacing w:val="-3"/>
          <w:sz w:val="24"/>
        </w:rPr>
      </w:pPr>
      <w:r>
        <w:rPr>
          <w:spacing w:val="-3"/>
          <w:sz w:val="24"/>
        </w:rPr>
      </w:r>
    </w:p>
    <w:p>
      <w:pPr>
        <w:pStyle w:val="Normal"/>
        <w:tabs>
          <w:tab w:val="clear" w:pos="720"/>
          <w:tab w:val="left" w:pos="-720" w:leader="none"/>
        </w:tabs>
        <w:suppressAutoHyphens w:val="true"/>
        <w:jc w:val="both"/>
        <w:rPr>
          <w:spacing w:val="-3"/>
          <w:sz w:val="24"/>
        </w:rPr>
      </w:pPr>
      <w:r>
        <w:rPr>
          <w:spacing w:val="-3"/>
          <w:sz w:val="24"/>
        </w:rPr>
        <w:tab/>
        <w:tab/>
        <w:tab/>
        <w:tab/>
        <w:tab/>
        <w:tab/>
        <w:t>TRANSWESTERN PIPELINE COMPANY</w:t>
      </w:r>
    </w:p>
    <w:p>
      <w:pPr>
        <w:pStyle w:val="Normal"/>
        <w:tabs>
          <w:tab w:val="clear" w:pos="720"/>
          <w:tab w:val="left" w:pos="-720" w:leader="none"/>
        </w:tabs>
        <w:suppressAutoHyphens w:val="true"/>
        <w:jc w:val="both"/>
        <w:rPr>
          <w:spacing w:val="-3"/>
          <w:sz w:val="24"/>
        </w:rPr>
      </w:pPr>
      <w:r>
        <w:rPr>
          <w:spacing w:val="-3"/>
          <w:sz w:val="24"/>
        </w:rPr>
      </w:r>
    </w:p>
    <w:p>
      <w:pPr>
        <w:pStyle w:val="Normal"/>
        <w:tabs>
          <w:tab w:val="clear" w:pos="720"/>
          <w:tab w:val="left" w:pos="-720" w:leader="none"/>
        </w:tabs>
        <w:suppressAutoHyphens w:val="true"/>
        <w:jc w:val="both"/>
        <w:rPr>
          <w:spacing w:val="-3"/>
          <w:sz w:val="24"/>
        </w:rPr>
      </w:pPr>
      <w:r>
        <w:rPr>
          <w:spacing w:val="-3"/>
          <w:sz w:val="24"/>
        </w:rPr>
      </w:r>
    </w:p>
    <w:p>
      <w:pPr>
        <w:pStyle w:val="Normal"/>
        <w:tabs>
          <w:tab w:val="clear" w:pos="720"/>
          <w:tab w:val="left" w:pos="-720" w:leader="none"/>
        </w:tabs>
        <w:suppressAutoHyphens w:val="true"/>
        <w:jc w:val="both"/>
        <w:rPr>
          <w:spacing w:val="-3"/>
          <w:sz w:val="24"/>
        </w:rPr>
      </w:pPr>
      <w:r>
        <w:rPr>
          <w:spacing w:val="-3"/>
          <w:sz w:val="24"/>
        </w:rPr>
        <w:tab/>
        <w:tab/>
        <w:tab/>
        <w:tab/>
        <w:tab/>
        <w:tab/>
        <w:t>____________________________________</w:t>
      </w:r>
    </w:p>
    <w:p>
      <w:pPr>
        <w:pStyle w:val="Normal"/>
        <w:tabs>
          <w:tab w:val="clear" w:pos="720"/>
          <w:tab w:val="left" w:pos="-720" w:leader="none"/>
        </w:tabs>
        <w:suppressAutoHyphens w:val="true"/>
        <w:jc w:val="both"/>
        <w:rPr>
          <w:spacing w:val="-3"/>
          <w:sz w:val="24"/>
        </w:rPr>
      </w:pPr>
      <w:r>
        <w:rPr>
          <w:spacing w:val="-3"/>
          <w:sz w:val="24"/>
        </w:rPr>
        <w:tab/>
        <w:tab/>
        <w:tab/>
        <w:tab/>
        <w:tab/>
        <w:tab/>
        <w:t>Susan Scott</w:t>
      </w:r>
    </w:p>
    <w:p>
      <w:pPr>
        <w:pStyle w:val="Normal"/>
        <w:tabs>
          <w:tab w:val="clear" w:pos="720"/>
          <w:tab w:val="left" w:pos="-720" w:leader="none"/>
        </w:tabs>
        <w:suppressAutoHyphens w:val="true"/>
        <w:jc w:val="both"/>
        <w:rPr>
          <w:spacing w:val="-3"/>
          <w:sz w:val="24"/>
        </w:rPr>
      </w:pPr>
      <w:r>
        <w:rPr>
          <w:spacing w:val="-3"/>
          <w:sz w:val="24"/>
        </w:rPr>
        <w:tab/>
        <w:tab/>
        <w:tab/>
        <w:tab/>
        <w:tab/>
        <w:tab/>
        <w:t>Senior Counsel</w:t>
      </w:r>
    </w:p>
    <w:p>
      <w:pPr>
        <w:pStyle w:val="Heading2"/>
        <w:ind w:hanging="0" w:start="0"/>
        <w:rPr/>
      </w:pPr>
      <w:r>
        <w:rPr/>
        <w:tab/>
        <w:tab/>
        <w:tab/>
        <w:tab/>
        <w:tab/>
        <w:tab/>
        <w:t>Transwestern Pipeline Company</w:t>
      </w:r>
    </w:p>
    <w:p>
      <w:pPr>
        <w:pStyle w:val="Heading2"/>
        <w:ind w:hanging="0" w:start="0"/>
        <w:rPr/>
      </w:pPr>
      <w:r>
        <w:rPr/>
        <w:tab/>
        <w:tab/>
        <w:tab/>
        <w:tab/>
        <w:tab/>
        <w:tab/>
        <w:t>P. O. Box 1188</w:t>
      </w:r>
    </w:p>
    <w:p>
      <w:pPr>
        <w:pStyle w:val="Normal"/>
        <w:tabs>
          <w:tab w:val="clear" w:pos="720"/>
          <w:tab w:val="left" w:pos="-720" w:leader="none"/>
        </w:tabs>
        <w:suppressAutoHyphens w:val="true"/>
        <w:jc w:val="both"/>
        <w:rPr>
          <w:spacing w:val="-3"/>
          <w:sz w:val="24"/>
        </w:rPr>
      </w:pPr>
      <w:r>
        <w:rPr>
          <w:spacing w:val="-3"/>
          <w:sz w:val="24"/>
        </w:rPr>
        <w:tab/>
        <w:tab/>
        <w:tab/>
        <w:tab/>
        <w:tab/>
        <w:tab/>
        <w:t>Houston, Texas  77251-1188</w:t>
      </w:r>
    </w:p>
    <w:p>
      <w:pPr>
        <w:pStyle w:val="Normal"/>
        <w:tabs>
          <w:tab w:val="clear" w:pos="720"/>
          <w:tab w:val="left" w:pos="-720" w:leader="none"/>
        </w:tabs>
        <w:suppressAutoHyphens w:val="true"/>
        <w:jc w:val="both"/>
        <w:rPr>
          <w:sz w:val="24"/>
        </w:rPr>
      </w:pPr>
      <w:r>
        <w:rPr>
          <w:sz w:val="24"/>
        </w:rPr>
        <w:tab/>
        <w:tab/>
        <w:tab/>
        <w:tab/>
        <w:tab/>
        <w:tab/>
        <w:t>(713) 853-0596</w:t>
      </w:r>
    </w:p>
    <w:p>
      <w:pPr>
        <w:pStyle w:val="Normal"/>
        <w:tabs>
          <w:tab w:val="clear" w:pos="720"/>
          <w:tab w:val="left" w:pos="-720" w:leader="none"/>
        </w:tabs>
        <w:suppressAutoHyphens w:val="true"/>
        <w:jc w:val="both"/>
        <w:rPr>
          <w:rFonts w:ascii="CG Times" w:hAnsi="CG Times" w:cs="CG Times"/>
          <w:sz w:val="24"/>
        </w:rPr>
      </w:pPr>
      <w:r>
        <w:rPr>
          <w:rFonts w:cs="CG Times" w:ascii="CG Times" w:hAnsi="CG Times"/>
          <w:sz w:val="24"/>
        </w:rPr>
      </w:r>
    </w:p>
    <w:p>
      <w:pPr>
        <w:pStyle w:val="Heading1"/>
        <w:ind w:hanging="0" w:start="0"/>
        <w:rPr>
          <w:rFonts w:ascii="CG Times" w:hAnsi="CG Times" w:cs="CG Times"/>
        </w:rPr>
      </w:pPr>
      <w:r>
        <w:rPr>
          <w:rFonts w:cs="CG Times" w:ascii="CG Times" w:hAnsi="CG Times"/>
        </w:rPr>
        <w:t>CERTIFICATE OF SERVICE</w:t>
      </w:r>
    </w:p>
    <w:p>
      <w:pPr>
        <w:pStyle w:val="Normal"/>
        <w:rPr>
          <w:rFonts w:ascii="CG Times" w:hAnsi="CG Times" w:cs="CG Times"/>
          <w:sz w:val="24"/>
        </w:rPr>
      </w:pPr>
      <w:r>
        <w:rPr>
          <w:rFonts w:cs="CG Times" w:ascii="CG Times" w:hAnsi="CG Times"/>
          <w:sz w:val="24"/>
        </w:rPr>
      </w:r>
    </w:p>
    <w:p>
      <w:pPr>
        <w:pStyle w:val="BodyTextIndent"/>
        <w:rPr>
          <w:rFonts w:ascii="CG Times" w:hAnsi="CG Times" w:cs="CG Times"/>
          <w:sz w:val="24"/>
        </w:rPr>
      </w:pPr>
      <w:r>
        <w:rPr>
          <w:rFonts w:cs="CG Times" w:ascii="CG Times" w:hAnsi="CG Times"/>
          <w:sz w:val="24"/>
        </w:rPr>
        <w:t>I hereby certify that I have this day served the foregoing document upon the persons designated by the Secretary of the Federal Energy Regulatory Commission to receive service in this proceeding by depositing copies thereof in the United States Mail, first-class postage prepaid.</w:t>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tab/>
        <w:t>Dated this the 14th day of February, 2000.</w:t>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r>
    </w:p>
    <w:p>
      <w:pPr>
        <w:pStyle w:val="Normal"/>
        <w:rPr>
          <w:rFonts w:ascii="CG Times" w:hAnsi="CG Times" w:cs="CG Times"/>
          <w:sz w:val="24"/>
        </w:rPr>
      </w:pPr>
      <w:r>
        <w:rPr>
          <w:rFonts w:cs="CG Times" w:ascii="CG Times" w:hAnsi="CG Times"/>
          <w:sz w:val="24"/>
        </w:rPr>
        <w:tab/>
        <w:tab/>
        <w:tab/>
        <w:tab/>
        <w:tab/>
        <w:t>__________________________________</w:t>
      </w:r>
    </w:p>
    <w:p>
      <w:pPr>
        <w:pStyle w:val="Normal"/>
        <w:rPr>
          <w:rFonts w:ascii="CG Times" w:hAnsi="CG Times" w:cs="CG Times"/>
          <w:sz w:val="24"/>
        </w:rPr>
      </w:pPr>
      <w:r>
        <w:rPr>
          <w:rFonts w:cs="CG Times" w:ascii="CG Times" w:hAnsi="CG Times"/>
          <w:sz w:val="24"/>
        </w:rPr>
        <w:tab/>
        <w:tab/>
        <w:tab/>
        <w:tab/>
        <w:tab/>
        <w:t>Susan Scott</w:t>
      </w:r>
    </w:p>
    <w:p>
      <w:pPr>
        <w:pStyle w:val="Normal"/>
        <w:tabs>
          <w:tab w:val="clear" w:pos="720"/>
          <w:tab w:val="left" w:pos="-720" w:leader="none"/>
        </w:tabs>
        <w:suppressAutoHyphens w:val="true"/>
        <w:jc w:val="both"/>
        <w:rPr>
          <w:rFonts w:ascii="CG Times" w:hAnsi="CG Times" w:cs="CG Times"/>
          <w:sz w:val="24"/>
        </w:rPr>
      </w:pPr>
      <w:r>
        <w:rPr>
          <w:rFonts w:cs="CG Times" w:ascii="CG Times" w:hAnsi="CG Times"/>
          <w:sz w:val="24"/>
        </w:rPr>
      </w:r>
    </w:p>
    <w:sectPr>
      <w:footerReference w:type="default" r:id="rId2"/>
      <w:footerReference w:type="first" r:id="rId3"/>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ind w:hanging="720" w:start="720" w:end="0"/>
        <w:jc w:val="both"/>
        <w:rPr/>
      </w:pPr>
      <w:r>
        <w:rPr>
          <w:rStyle w:val="FootnoteCharacters"/>
        </w:rPr>
        <w:footnoteRef/>
      </w:r>
      <w:r>
        <w:rPr/>
        <w:t xml:space="preserve"> </w:t>
      </w:r>
      <w:r>
        <w:rPr>
          <w:rStyle w:val="FootnoteCharacters"/>
        </w:rPr>
        <w:t>?</w:t>
      </w:r>
      <w:r>
        <w:rPr/>
        <w:tab/>
        <w:t>See Order No. 582, FERC Statutes and Regulations, Regulations Preambles January 1991-June 1996 ¶31,025, at p. 31,413 (1995).</w:t>
      </w:r>
    </w:p>
    <w:p>
      <w:pPr>
        <w:pStyle w:val="FootnoteText"/>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720" w:leader="none"/>
      </w:tabs>
      <w:suppressAutoHyphens w:val="true"/>
      <w:spacing w:lineRule="auto" w:line="480"/>
      <w:jc w:val="center"/>
      <w:outlineLvl w:val="0"/>
    </w:pPr>
    <w:rPr>
      <w:b/>
      <w:spacing w:val="-3"/>
      <w:sz w:val="24"/>
    </w:rPr>
  </w:style>
  <w:style w:type="paragraph" w:styleId="Heading2">
    <w:name w:val="heading 2"/>
    <w:basedOn w:val="Normal"/>
    <w:next w:val="Normal"/>
    <w:qFormat/>
    <w:pPr>
      <w:keepNext w:val="true"/>
      <w:numPr>
        <w:ilvl w:val="1"/>
        <w:numId w:val="1"/>
      </w:numPr>
      <w:tabs>
        <w:tab w:val="clear" w:pos="720"/>
        <w:tab w:val="left" w:pos="-720" w:leader="none"/>
      </w:tabs>
      <w:suppressAutoHyphens w:val="true"/>
      <w:jc w:val="both"/>
      <w:outlineLvl w:val="1"/>
    </w:pPr>
    <w:rPr>
      <w:spacing w:val="-3"/>
      <w:sz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4"/>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2000-02-08T21:33:00Z</dcterms:created>
  <dc:creator>Susan Scott</dc:creator>
  <dc:description/>
  <dc:language>en-CA</dc:language>
  <cp:lastModifiedBy>jcones</cp:lastModifiedBy>
  <cp:lastPrinted>2000-02-11T10:54:00Z</cp:lastPrinted>
  <dcterms:modified xsi:type="dcterms:W3CDTF">2000-02-11T14:30:00Z</dcterms:modified>
  <cp:revision>11</cp:revision>
  <dc:subject/>
  <dc:title>UNITED STATES OF AMERICA</dc:title>
</cp:coreProperties>
</file>