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4410" w:leader="none"/>
        </w:tabs>
        <w:rPr/>
      </w:pPr>
      <w:r>
        <w:rPr/>
        <w:t>BEFORE THE UNITED STATES</w:t>
      </w:r>
    </w:p>
    <w:p>
      <w:pPr>
        <w:pStyle w:val="Heading1"/>
        <w:ind w:hanging="0" w:start="0"/>
        <w:rPr/>
      </w:pPr>
      <w:r>
        <w:rPr/>
        <w:t>FEDERAL ENERGY REGULATORY COMMISSION</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Heading2"/>
        <w:tabs>
          <w:tab w:val="clear" w:pos="720"/>
          <w:tab w:val="left" w:pos="4500" w:leader="none"/>
        </w:tabs>
        <w:ind w:hanging="0" w:start="0"/>
        <w:rPr/>
      </w:pPr>
      <w:r>
        <w:rPr/>
        <w:t>Kern River Gas Transmission Company</w:t>
        <w:tab/>
        <w:t>}</w:t>
        <w:tab/>
        <w:tab/>
        <w:t>Docket No. CP01-381-000</w:t>
      </w:r>
    </w:p>
    <w:p>
      <w:pPr>
        <w:pStyle w:val="Normal"/>
        <w:jc w:val="center"/>
        <w:rPr>
          <w:b/>
          <w:sz w:val="24"/>
        </w:rPr>
      </w:pPr>
      <w:r>
        <w:rPr>
          <w:b/>
          <w:sz w:val="24"/>
        </w:rPr>
      </w:r>
    </w:p>
    <w:p>
      <w:pPr>
        <w:pStyle w:val="Normal"/>
        <w:jc w:val="center"/>
        <w:rPr>
          <w:b/>
          <w:sz w:val="24"/>
        </w:rPr>
      </w:pPr>
      <w:r>
        <w:rPr>
          <w:b/>
          <w:sz w:val="24"/>
        </w:rPr>
      </w:r>
    </w:p>
    <w:p>
      <w:pPr>
        <w:pStyle w:val="Normal"/>
        <w:tabs>
          <w:tab w:val="clear" w:pos="720"/>
          <w:tab w:val="left" w:pos="1440" w:leader="none"/>
          <w:tab w:val="left" w:pos="4320" w:leader="none"/>
          <w:tab w:val="left" w:pos="5040" w:leader="none"/>
        </w:tabs>
        <w:jc w:val="center"/>
        <w:rPr>
          <w:b/>
          <w:sz w:val="24"/>
        </w:rPr>
      </w:pPr>
      <w:r>
        <w:rPr>
          <w:b/>
          <w:sz w:val="24"/>
        </w:rPr>
        <w:t>MOTION OF ENRON NORTH AMERICA CORP.</w:t>
      </w:r>
    </w:p>
    <w:p>
      <w:pPr>
        <w:pStyle w:val="Heading1"/>
        <w:ind w:hanging="0" w:start="0"/>
        <w:rPr/>
      </w:pPr>
      <w:r>
        <w:rPr/>
        <w:t xml:space="preserve"> </w:t>
      </w:r>
      <w:r>
        <w:rPr/>
        <w:t>FOR LEAVE TO INTERVENE AND</w:t>
      </w:r>
    </w:p>
    <w:p>
      <w:pPr>
        <w:pStyle w:val="Heading1"/>
        <w:ind w:hanging="0" w:start="0"/>
        <w:rPr/>
      </w:pPr>
      <w:r>
        <w:rPr/>
        <w:t>RESPONSE TO PETITION FOR</w:t>
      </w:r>
    </w:p>
    <w:p>
      <w:pPr>
        <w:pStyle w:val="Heading1"/>
        <w:ind w:hanging="0" w:start="0"/>
        <w:rPr/>
      </w:pPr>
      <w:r>
        <w:rPr/>
        <w:t>DECLARATORY ORDER</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BodyText"/>
        <w:ind w:firstLine="720" w:end="0"/>
        <w:rPr/>
      </w:pPr>
      <w:r>
        <w:rPr/>
        <w:t xml:space="preserve">On June 1, 2001, Kern River Gas Transmission Company (“Kern River”) filed a petition for declaratory order in the instant proceeding.  Kern River seeks Commission clarification as to the effect of a June 15, 1989 Agreement (“the 1989 Agreement”) between Kern River and Southern California Gas Company (“SoCalGas”) which grants SoCalGas, </w:t>
      </w:r>
      <w:r>
        <w:rPr>
          <w:i/>
        </w:rPr>
        <w:t>inter alia,</w:t>
      </w:r>
      <w:r>
        <w:rPr/>
        <w:t xml:space="preserve"> a 30-day period in which to exercise a “prior right” to contract for up to 500 Mcf per day of available expansion firm capacity.  Kern River’s position is that it has no obligation under the 1989 Agreement to provide SoCalGas any preferential notice or opportunity to elect any of the capacity on Kern River’s pending expansions because such actions would be contrary to the Federal Energy Regulatory Commission’s (“Commission”) rules and policies regarding non-discriminatory access to interstate pipeline capacity.  </w:t>
      </w:r>
    </w:p>
    <w:p>
      <w:pPr>
        <w:pStyle w:val="BodyText"/>
        <w:ind w:firstLine="720" w:end="0"/>
        <w:rPr/>
      </w:pPr>
      <w:r>
        <w:rPr/>
        <w:t>Enron supports Kern River’s position and requests that the Commission rule that nothing in the 1989 Agreement affects the rights of the shippers on Kern River’s California Emergency Action Project or stands in the way of that Project’s expeditious completion and placement in service.</w:t>
      </w:r>
    </w:p>
    <w:p>
      <w:pPr>
        <w:pStyle w:val="BodyText"/>
        <w:keepNext w:val="true"/>
        <w:ind w:firstLine="720" w:end="0"/>
        <w:jc w:val="center"/>
        <w:rPr>
          <w:b/>
        </w:rPr>
      </w:pPr>
      <w:r>
        <w:rPr>
          <w:b/>
        </w:rPr>
        <w:t>I.  INTERVENTION</w:t>
      </w:r>
    </w:p>
    <w:p>
      <w:pPr>
        <w:pStyle w:val="BodyText"/>
        <w:ind w:firstLine="720" w:end="0"/>
        <w:rPr/>
      </w:pPr>
      <w:r>
        <w:rPr/>
        <w:t>Enron North America Corp. (“ENA”) is a marketer of natural gas and was awarded capacity on Kern River’s California Emergency Action Project (“Project”), which proposes to increase overall capacity on Kern River by 135,000 Mcf per day.  Because of the need for immediate actions to increase energy supplies to California, Kern River has designed the compression-only Project to use a combination of new permanent and temporary facilities.  The temporary facilities are intended to be subsequently replaced by permanent facilities as part of Kern River’s 2002 Expansion Project, previously filed in Docket No. CP01-31-000, with the proposed permanent facilities to be subsequently incorporated into the design of its 2002 and 2003 Expansion Projects.  The California Emergency Action Project is slated to go in service in July 2001, and, as Kern River has noted, shippers have entered into upstream and downstream arrangements in anticipation of the Project coming on line at that time.  Accordingly, we have a strong interest in seeing that the California Emergency Action Project is not unduly delayed by the actions of parties who believe their interests may be adversely affected by placing increased pipeline capacity to California in the hands of third parties.  ENA therefore seeks leave to intervene in this proceeding in order to protect its rights as a shipper on the California Emergency Action Project.</w:t>
      </w:r>
    </w:p>
    <w:p>
      <w:pPr>
        <w:pStyle w:val="Normal"/>
        <w:spacing w:lineRule="auto" w:line="480"/>
        <w:ind w:firstLine="720" w:end="0"/>
        <w:jc w:val="both"/>
        <w:rPr>
          <w:sz w:val="24"/>
        </w:rPr>
      </w:pPr>
      <w:r>
        <w:rPr>
          <w:sz w:val="24"/>
        </w:rPr>
        <w:t>The names, titles, and mailing addresses of the persons to whom correspondence and communications concerning this proceeding are to be sent are as follows:</w:t>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Leslie J. Lawner</w:t>
        <w:tab/>
        <w:tab/>
        <w:tab/>
        <w:t>*Rebecca Cantrell</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Attorney for</w:t>
        <w:tab/>
        <w:tab/>
        <w:tab/>
        <w:t>Director, Federal Regulatory Affairs</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Enron North America Corp.</w:t>
        <w:tab/>
        <w:tab/>
        <w:tab/>
        <w:t>Enron North America Corp.</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712 N. Lea</w:t>
        <w:tab/>
        <w:tab/>
        <w:tab/>
        <w:t>P. O. Box 1188</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Roswell, New Mexico  88201</w:t>
        <w:tab/>
        <w:tab/>
        <w:tab/>
        <w:t>Houston, Texas  77251-1188</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(505) 623-6778</w:t>
        <w:tab/>
        <w:tab/>
        <w:tab/>
        <w:t>(713) 853-5840</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FAX (505) 625-2820</w:t>
        <w:tab/>
        <w:tab/>
        <w:tab/>
        <w:t>FAX (713) 646-5785</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ab/>
        <w:tab/>
        <w:tab/>
      </w:r>
      <w:hyperlink r:id="rId2">
        <w:r>
          <w:rPr>
            <w:rStyle w:val="Hyperlink"/>
          </w:rPr>
          <w:t>Rebecca.W.Cantrell@enron.com</w:t>
        </w:r>
      </w:hyperlink>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r>
    </w:p>
    <w:p>
      <w:pPr>
        <w:pStyle w:val="Normal"/>
        <w:tabs>
          <w:tab w:val="left" w:pos="720" w:leader="none"/>
          <w:tab w:val="left" w:pos="3600" w:leader="none"/>
          <w:tab w:val="left" w:pos="4320" w:leader="none"/>
          <w:tab w:val="left" w:pos="5040" w:leader="none"/>
          <w:tab w:val="left" w:pos="5856" w:leader="none"/>
        </w:tabs>
        <w:jc w:val="both"/>
        <w:rPr>
          <w:sz w:val="24"/>
        </w:rPr>
      </w:pPr>
      <w:r>
        <w:rPr>
          <w:sz w:val="24"/>
        </w:rPr>
        <w:tab/>
        <w:t>*Designated for service in accordance with Rule 203, 18 C.F.R. §385.203, of the Commission’s Rules of Practice and Procedure.</w:t>
      </w:r>
    </w:p>
    <w:p>
      <w:pPr>
        <w:pStyle w:val="BodyText"/>
        <w:jc w:val="center"/>
        <w:rPr>
          <w:b/>
          <w:sz w:val="24"/>
        </w:rPr>
      </w:pPr>
      <w:r>
        <w:rPr>
          <w:b/>
          <w:sz w:val="24"/>
        </w:rPr>
      </w:r>
    </w:p>
    <w:p>
      <w:pPr>
        <w:pStyle w:val="BodyText"/>
        <w:jc w:val="center"/>
        <w:rPr>
          <w:b/>
        </w:rPr>
      </w:pPr>
      <w:r>
        <w:rPr>
          <w:b/>
        </w:rPr>
        <w:t>II.  COMMENTS</w:t>
      </w:r>
    </w:p>
    <w:p>
      <w:pPr>
        <w:pStyle w:val="BodyText"/>
        <w:spacing w:lineRule="auto" w:line="240"/>
        <w:ind w:hanging="720" w:start="720" w:end="0"/>
        <w:rPr>
          <w:b/>
        </w:rPr>
      </w:pPr>
      <w:r>
        <w:rPr>
          <w:b/>
        </w:rPr>
        <w:t>A.</w:t>
        <w:tab/>
        <w:t>The California Emergency Action Project Must Be Placed In Service and Project Shippers Must Be Able to Commence Using This Service Without Delay.</w:t>
      </w:r>
    </w:p>
    <w:p>
      <w:pPr>
        <w:pStyle w:val="BodyText"/>
        <w:spacing w:lineRule="auto" w:line="240"/>
        <w:rPr>
          <w:b/>
        </w:rPr>
      </w:pPr>
      <w:r>
        <w:rPr>
          <w:b/>
        </w:rPr>
      </w:r>
    </w:p>
    <w:p>
      <w:pPr>
        <w:pStyle w:val="BodyText"/>
        <w:ind w:firstLine="720" w:end="0"/>
        <w:rPr/>
      </w:pPr>
      <w:r>
        <w:rPr/>
        <w:t>ENA has been an active participant in a considerable number of cases presently before the Commission arising out of the current energy crisis in California (Docket No. RM01-9 Reporting Requirements; Docket No. RP01-180, Reimposition of Price Caps on Short-term Capacity; and complaints filed by the California Public Utility Commission, the Los Angeles Department of Water and Power, San Diego Gas &amp; Electric Co., and the National Association of Gas Consumers).  In our pleadings filed in these proceedings, ENA has offered its understanding of the causes behind California’s gas and electric crisis.  Lack of adequate pipeline capacity to the California border and within California is certainly one of those factors.  The Commission acknowledged this in the Order Issuing Certificate in this proceeding issued on April 6, 2001, wherein it stated that “[w]hile there is no guarantee of the extent to which this project, by itself, will help alleviate that situation this summer, the Commission nevertheless believes that additional interstate pipeline capacity can be an integral component of a solution to California’s energy problems” (slip op at 17).  The Commission also cited to letters from the Governors of California and Nevada in support of the Project as a means of alleviating the energy crisis.  The California Energy Commission recently concluded that “an inadequate natural gas infrastructure is a major contributor to high prices for natural gas” in the State</w:t>
      </w:r>
      <w:r>
        <w:rPr>
          <w:rStyle w:val="FootnoteCharacters"/>
          <w:rStyle w:val="FootnoteReference"/>
        </w:rPr>
        <w:footnoteReference w:id="2"/>
      </w:r>
      <w:r>
        <w:rPr/>
        <w:t>.</w:t>
      </w:r>
    </w:p>
    <w:p>
      <w:pPr>
        <w:pStyle w:val="BodyText"/>
        <w:ind w:firstLine="720" w:end="0"/>
        <w:rPr/>
      </w:pPr>
      <w:r>
        <w:rPr/>
        <w:t xml:space="preserve">Obviously, to delay or prevent the operation of the California Emergency Action Project would harm consumers, who benefit from capacity additions both from enhanced reliability of supply and from lower prices.  If shippers who were awarded capacity on that Project are forced to give that capacity to a shipper that did not even submit a bid during the open season, the sanctity of the Commission’s processes to guarantee non-discriminatory access to interstate pipeline transportation is undermined.  The expeditious and orderly implementation of the Kern River California Emergency Action Project is particularly important since little meaningful action at the state level has been taken to address the looming summer energy crisis. </w:t>
      </w:r>
    </w:p>
    <w:p>
      <w:pPr>
        <w:pStyle w:val="BodyText"/>
        <w:keepNext w:val="true"/>
        <w:spacing w:before="240" w:after="0"/>
        <w:rPr>
          <w:b/>
        </w:rPr>
      </w:pPr>
      <w:r>
        <w:rPr>
          <w:b/>
        </w:rPr>
        <w:t>B.</w:t>
        <w:tab/>
        <w:t>SoCalGas’ Contract Claim was Not Properly Raised By SoCalGas</w:t>
      </w:r>
    </w:p>
    <w:p>
      <w:pPr>
        <w:pStyle w:val="BodyText"/>
        <w:ind w:firstLine="720" w:end="0"/>
        <w:rPr/>
      </w:pPr>
      <w:r>
        <w:rPr/>
        <w:t xml:space="preserve">The posture of this case is unusual because the party whose actions threaten to undermine the California Emergency Action Project, SoCalGas, has not brought its claim to the Commission.  Rather, Kern River has received communications from SoCalGas ostensibly challenging the Project on the ground that Kern River has not complied with either the notice or first refusal provisions of Paragraph 10 of the 1989 Agreement requiring Kern River to inform SoCalGas of and offer excess capacity to SoCalGas.  Unbelievably, in its cursory “Answer Opposing Proposed Answer Date for Responding to Petition for Declaratory Order” dated June 5, SoCalGas makes the incredible statement that, contrary to Kern River’s assertions, Kern’s Petition “merely raises the issue of which shippers should be awarded the expanded capacity – not whether the expansion should be constructed.  The Petition amply demonstrates that there is a need for the expansion and that Kern has at least two sets of potential shippers who desire access to the expanded facilities.”  ENA strongly objects to this characterization of the problem.  There are </w:t>
      </w:r>
      <w:r>
        <w:rPr>
          <w:b/>
          <w:i/>
        </w:rPr>
        <w:t>not</w:t>
      </w:r>
      <w:r>
        <w:rPr/>
        <w:t xml:space="preserve"> two sets of potential shippers; there is only one set of shippers – those who were properly awarded capacity through the open season.  There is one party, SoCalGas, that seeks to upset the cart and make claims to capacity rights that are totally contradictory to well-established Commission policy.  </w:t>
      </w:r>
    </w:p>
    <w:p>
      <w:pPr>
        <w:pStyle w:val="BodyText"/>
        <w:ind w:firstLine="720" w:end="0"/>
        <w:rPr/>
      </w:pPr>
      <w:r>
        <w:rPr/>
        <w:t xml:space="preserve">Indeed, while we do not fault Kern River for bringing the matter to the Commission’s attention for clarification, if Kern River had not done so, we have to assume that the Project would have gone into service with the successful open season shippers assuming their contractual rights, notwithstanding SoCalGas’s claims to the contrary.  </w:t>
      </w:r>
    </w:p>
    <w:p>
      <w:pPr>
        <w:pStyle w:val="BodyText"/>
        <w:ind w:firstLine="720" w:end="0"/>
        <w:rPr/>
      </w:pPr>
      <w:r>
        <w:rPr/>
        <w:t>While we do not know why SoCalGas did not bring its contractual claims to the Commission in its March 30, 2001 “Intervention and Comments and Request for Expedited Procedures” filed on the California Emergency Action Project, we surmise it is because it realized that this contractual claim is without merit, as its enforcement would cause Kern River to violate any number of Commission rules and regulations, as discussed below.</w:t>
      </w:r>
    </w:p>
    <w:p>
      <w:pPr>
        <w:pStyle w:val="BodyText"/>
        <w:ind w:firstLine="720" w:end="0"/>
        <w:rPr/>
      </w:pPr>
      <w:r>
        <w:rPr/>
        <w:t>Interestingly, in its “Intervention and Comments,” SoCalGas raised a plethora of issues related to the expansion, but never mentioned the 1989 Agreement.  SoCalGas requested that a conference be convened to “rationalize” the expansion process to ensure that all necessary facilities are constructed in an orderly and coordinated manner.  SoCalGas also argued that the proposed expansions be designed to reach only the “intended” markets, which in its view are the new electric generating facilities.  SoCalGas argued that it is “prudent only to build new intra-state capacity on the same basis as interstate pipelines (i.e., on a long term contract basis)”, in order for SoCalGas to protect its customers from stranded costs.  (Comments at p. 7.)  (Since SoCalGas has not contracted for any firm interstate capacity on the Kern River California Emergency Action Project, it is difficult to imagine how the Project could result in stranded costs to SoCalGas’ downstream customers.)  SoCalGas discussed at length the operational concerns that the Kern River expansion would raise and also the market forecasts for natural gas on its system.  Nowhere in its filing does SoCalGas mention the existence of the 1989 Agreement, its interpretation of the rights that Agreement conveys to SoCalGas or its impact on the California Emergency Action Project.  Given that SoCalGas’ asserted rights under that Agreement are inimical to the orderly and expeditious completion of the Project, SoCalGas’ omission is striking.</w:t>
      </w:r>
    </w:p>
    <w:p>
      <w:pPr>
        <w:pStyle w:val="BodyText"/>
        <w:keepNext w:val="true"/>
        <w:spacing w:lineRule="auto" w:line="240" w:before="240" w:after="0"/>
        <w:rPr>
          <w:b/>
        </w:rPr>
      </w:pPr>
      <w:r>
        <w:rPr>
          <w:b/>
        </w:rPr>
        <w:t>C.</w:t>
        <w:tab/>
        <w:t>The Commission Cannot Give Force and Effect to the 1989 Agreement.</w:t>
      </w:r>
    </w:p>
    <w:p>
      <w:pPr>
        <w:pStyle w:val="BodyText"/>
        <w:keepNext w:val="true"/>
        <w:spacing w:lineRule="auto" w:line="240"/>
        <w:rPr>
          <w:b/>
        </w:rPr>
      </w:pPr>
      <w:r>
        <w:rPr>
          <w:b/>
        </w:rPr>
      </w:r>
    </w:p>
    <w:p>
      <w:pPr>
        <w:pStyle w:val="BodyText"/>
        <w:ind w:firstLine="720" w:end="0"/>
        <w:rPr/>
      </w:pPr>
      <w:r>
        <w:rPr/>
        <w:t>SoCalGas has made a claim to Kern River that it is obligated under the 1989 Agreement to provide SoCalGas with specific notice of the California Emergency Action Project and then to give it 30 days in which to decide if it wants to sign up for excess capacity.  If Kern River had given SoCalGas specific notice of the proposed project in a manner different than that afforded all other shippers, or if it had afforded SoCalGas a right of refusal to capacity outside of an open season, Kern River would have been in violation of long-standing Commission policy requiring pipelines to hold open seasons with respect to capacity expansions</w:t>
      </w:r>
      <w:r>
        <w:rPr>
          <w:rStyle w:val="FootnoteCharacters"/>
          <w:rStyle w:val="FootnoteReference"/>
        </w:rPr>
        <w:footnoteReference w:id="3"/>
      </w:r>
      <w:r>
        <w:rPr/>
        <w:t xml:space="preserve">.  Indeed, in a recent order issued in a Kern River proceeding, </w:t>
      </w:r>
      <w:r>
        <w:br w:type="page"/>
      </w:r>
    </w:p>
    <w:p>
      <w:pPr>
        <w:pStyle w:val="BodyText"/>
        <w:rPr/>
      </w:pPr>
      <w:r>
        <w:rPr/>
        <w:t>Docket No. GT01-9-000, the Commission rejected a contract provision between Kern River and Union Pacific Resources which would have given Union Pacific a first right of priority under an Extended Term transportation program.  The Commission found that such a term was “an impermissible negotiated term under the Commission’s current policy because it would give Union Pacific an advantage in future contract reduction situations over Kern River’s other shippers.”</w:t>
      </w:r>
      <w:r>
        <w:rPr>
          <w:rStyle w:val="FootnoteCharacters"/>
          <w:rStyle w:val="FootnoteReference"/>
        </w:rPr>
        <w:footnoteReference w:id="4"/>
      </w:r>
    </w:p>
    <w:p>
      <w:pPr>
        <w:pStyle w:val="BodyText"/>
        <w:ind w:firstLine="720" w:end="0"/>
        <w:rPr/>
      </w:pPr>
      <w:r>
        <w:rPr/>
        <w:t>Kern River stated that it entered into the 1989 Agreement with SoCalGas in order to remove regulatory barriers to the timely approval of its construction project, and “to satisfy the CPUC’s announced criteria stipulating that CPUC-jurisdictional companies, such as SoCalGas, must be given the opportunity to control any initial, extended or expanded capacity not used by the EOR/cogen customers.”  (p.9 of filing.)  Even though this 1989 Agreement was entered into so that SoCalGas would remove its opposition to the Kern River project, the 1989 Agreement was apparently never filed with, or approved by, the Commission.  ENA cannot conceive that SoCalGas truly believes that this collateral agreement, so heavily imbued with regulatory significance, could countermand express policies and decisions adopted by the Commission (and the CPUC as well), certainly not without regulatory sanction which would have been obtained had the Agreement been filed with the Commission for approval.  Indeed, black letter law of contracts voids provisions which conflict with statutes or regulations as against public policy, and when a contract which is legal when entered into subsequently becomes illegal, the doctrine of impossibility of performance is invoked and performance is excused.</w:t>
      </w:r>
      <w:r>
        <w:rPr>
          <w:rStyle w:val="FootnoteCharacters"/>
          <w:rStyle w:val="FootnoteReference"/>
        </w:rPr>
        <w:footnoteReference w:id="5"/>
      </w:r>
    </w:p>
    <w:p>
      <w:pPr>
        <w:pStyle w:val="BodyText"/>
        <w:ind w:firstLine="720" w:end="0"/>
        <w:rPr/>
      </w:pPr>
      <w:r>
        <w:rPr/>
        <w:t xml:space="preserve">Whether or not SoCalGas has any enforceable contractual rights under the 1989 Agreement is, in the end, a contractual matter between the signatory parties.  While it would seem that specific performance of the rights asserted by SoCalGas would be impossible, it is possible that there may be other remedies which SoCalGas would be free to pursue.  The correct remedy, however, is </w:t>
      </w:r>
      <w:r>
        <w:rPr>
          <w:b/>
          <w:i/>
        </w:rPr>
        <w:t>not</w:t>
      </w:r>
      <w:r>
        <w:rPr/>
        <w:t xml:space="preserve"> to delay the prompt completion of Kern River’s California Emergency Action Project or prevent the lawful shippers from using their transportation rights.</w:t>
      </w:r>
    </w:p>
    <w:p>
      <w:pPr>
        <w:pStyle w:val="BodyText"/>
        <w:keepNext w:val="true"/>
        <w:spacing w:before="120" w:after="0"/>
        <w:ind w:firstLine="720" w:end="0"/>
        <w:rPr/>
      </w:pPr>
      <w:r>
        <w:rPr/>
        <w:t>WHEREFORE, ENA respectfully requests that the Commission rule that the 1989 Agreement is no bar to the expeditious commencement of service provided by Kern River’s California Emergency Action Project to the shippers who were properly awarded capacity thereon through the Kern River open season under the Commission’s rules and orders.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Dated:  June 15, 2001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sectPr>
          <w:headerReference w:type="default" r:id="rId3"/>
          <w:headerReference w:type="first" r:id="rId4"/>
          <w:footnotePr>
            <w:numFmt w:val="decimal"/>
          </w:footnotePr>
          <w:type w:val="nextPage"/>
          <w:pgSz w:w="12240" w:h="15840"/>
          <w:pgMar w:left="1728" w:right="1728" w:gutter="0" w:header="720" w:top="1440" w:footer="0" w:bottom="1296"/>
          <w:pgNumType w:fmt="decimal"/>
          <w:formProt w:val="false"/>
          <w:titlePg/>
          <w:textDirection w:val="lrTb"/>
          <w:docGrid w:type="default" w:linePitch="360" w:charSpace="0"/>
        </w:sect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Dated this 15th day of June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BodyText"/>
        <w:ind w:firstLine="720" w:start="1440" w:end="0"/>
        <w:rPr/>
      </w:pPr>
      <w:r>
        <w:rPr/>
        <w:tab/>
        <w:tab/>
        <w:tab/>
        <w:tab/>
        <w:t>Leslie J. Lawner</w:t>
      </w:r>
    </w:p>
    <w:sectPr>
      <w:headerReference w:type="default" r:id="rId5"/>
      <w:headerReference w:type="first" r:id="rId6"/>
      <w:footnotePr>
        <w:numFmt w:val="decimal"/>
      </w:footnotePr>
      <w:type w:val="nextPage"/>
      <w:pgSz w:w="12240" w:h="15840"/>
      <w:pgMar w:left="1728" w:right="1728"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California Energy Commission, </w:t>
      </w:r>
      <w:r>
        <w:rPr>
          <w:i/>
        </w:rPr>
        <w:t>Natural Gas Infrastructure Issues</w:t>
      </w:r>
      <w:r>
        <w:rPr/>
        <w:t xml:space="preserve">, May 2001, p. 9, available online at </w:t>
      </w:r>
      <w:hyperlink r:id="rId1">
        <w:r>
          <w:rPr>
            <w:rStyle w:val="Hyperlink"/>
          </w:rPr>
          <w:t>www.energy.ca.gov/reports/2001-05-22_200-01-001.PDF</w:t>
        </w:r>
      </w:hyperlink>
      <w:r>
        <w:rPr>
          <w:color w:val="0000FF"/>
        </w:rPr>
        <w:t>.</w:t>
      </w:r>
    </w:p>
  </w:footnote>
  <w:footnote w:id="3">
    <w:p>
      <w:pPr>
        <w:pStyle w:val="FootnoteText"/>
        <w:rPr/>
      </w:pPr>
      <w:r>
        <w:rPr>
          <w:rStyle w:val="FootnoteCharacters"/>
        </w:rPr>
        <w:footnoteRef/>
      </w:r>
      <w:r>
        <w:rPr/>
        <w:t xml:space="preserve"> </w:t>
      </w:r>
      <w:r>
        <w:rPr>
          <w:i/>
        </w:rPr>
        <w:t xml:space="preserve">See Gulf South Pipeline Co., </w:t>
      </w:r>
      <w:r>
        <w:rPr/>
        <w:t>95 FERC</w:t>
      </w:r>
      <w:r>
        <w:rPr>
          <w:i/>
        </w:rPr>
        <w:t xml:space="preserve"> </w:t>
      </w:r>
      <w:r>
        <w:rPr>
          <w:rStyle w:val="PageNumber"/>
        </w:rPr>
        <w:t xml:space="preserve">¶ 61,132 (2001); </w:t>
      </w:r>
      <w:r>
        <w:rPr>
          <w:rStyle w:val="PageNumber"/>
          <w:i/>
        </w:rPr>
        <w:t xml:space="preserve">Transcontinental Gas Pipe Line Corp., </w:t>
      </w:r>
      <w:r>
        <w:rPr>
          <w:rStyle w:val="PageNumber"/>
        </w:rPr>
        <w:t>94 FERC ¶ 61,128 (2001)</w:t>
      </w:r>
      <w:r>
        <w:rPr>
          <w:rStyle w:val="PageNumber"/>
          <w:i/>
        </w:rPr>
        <w:t>; Southern Natural Gas Co.</w:t>
      </w:r>
      <w:r>
        <w:rPr>
          <w:rStyle w:val="PageNumber"/>
        </w:rPr>
        <w:t xml:space="preserve">, 76 FERC ¶ 61,122 (1996) and 79 FERC 61,280 (1997); and </w:t>
      </w:r>
      <w:r>
        <w:rPr>
          <w:rStyle w:val="PageNumber"/>
          <w:i/>
        </w:rPr>
        <w:t>Alabama-Tennessee Natural Gas Co.</w:t>
      </w:r>
      <w:r>
        <w:rPr>
          <w:rStyle w:val="PageNumber"/>
        </w:rPr>
        <w:t>, 79 FERC ¶ 61,283 (1997).</w:t>
      </w:r>
    </w:p>
  </w:footnote>
  <w:footnote w:id="4">
    <w:p>
      <w:pPr>
        <w:pStyle w:val="FootnoteText"/>
        <w:rPr/>
      </w:pPr>
      <w:r>
        <w:rPr>
          <w:rStyle w:val="FootnoteCharacters"/>
        </w:rPr>
        <w:footnoteRef/>
      </w:r>
      <w:r>
        <w:rPr/>
        <w:t xml:space="preserve"> </w:t>
      </w:r>
      <w:r>
        <w:rPr/>
        <w:t>94 FERC P. 61,161 at 61,585 (2001)</w:t>
      </w:r>
    </w:p>
  </w:footnote>
  <w:footnote w:id="5">
    <w:p>
      <w:pPr>
        <w:pStyle w:val="FootnoteText"/>
        <w:rPr/>
      </w:pPr>
      <w:r>
        <w:rPr>
          <w:rStyle w:val="FootnoteCharacters"/>
        </w:rPr>
        <w:footnoteRef/>
      </w:r>
      <w:r>
        <w:rPr/>
        <w:t xml:space="preserve"> </w:t>
      </w:r>
      <w:r>
        <w:rPr/>
        <w:t>Section 178(1) of the Restatement of the Law, Second, Contracts, states that "a promise or other term of an agreement is unenforceable on grounds of public policy if legislation provides that it is unenforceable or the interest in its enforcement is clearly outweighed in the circumstances by a public policy against the enforcement of such terms."  The term "legislation" is clarified in the Comments and Illustrations following Section 178 to be meant in the broadest sense to include any fixed text enacted by a body with authority to promulgate rules and administrative regulations.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rStyle w:val="PageNumber"/>
      </w:rPr>
    </w:pPr>
    <w:r>
      <w:rPr/>
      <w:t>Docket No. CP01-381-000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Header"/>
      <w:tabs>
        <w:tab w:val="clear" w:pos="4320"/>
        <w:tab w:val="right" w:pos="8640" w:leader="none"/>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t>Docket No. CP01-381-000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tabs>
        <w:tab w:val="clear" w:pos="4320"/>
        <w:tab w:val="right" w:pos="8640" w:leader="none"/>
      </w:tabs>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both"/>
      <w:outlineLvl w:val="1"/>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noteText">
    <w:name w:val="footnote text"/>
    <w:basedOn w:val="Normal"/>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rFonts w:ascii="CG Times (WN)" w:hAnsi="CG Times (WN)" w:cs="CG Times (W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reports/2001-05-22_200-01-001.PDF"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2001-06-15T02:30:00Z</dcterms:created>
  <dc:creator>llawner</dc:creator>
  <dc:description/>
  <dc:language>en-CA</dc:language>
  <cp:lastModifiedBy>s_khopper</cp:lastModifiedBy>
  <cp:lastPrinted>2001-06-13T13:12:00Z</cp:lastPrinted>
  <dcterms:modified xsi:type="dcterms:W3CDTF">2001-06-15T02:30:00Z</dcterms:modified>
  <cp:revision>2</cp:revision>
  <dc:subject/>
  <dc:title>BEFORE THE UNITED STATES</dc:title>
</cp:coreProperties>
</file>